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TimesNewRomanPS-BoldMT" w:cs="TimesNewRomanPS-BoldMT" w:asciiTheme="majorAscii" w:hAnsiTheme="majorAscii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DIMAGNESIUM PHOSPHATE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1. PRODUCT AND COMPANY IDENTIFICATION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Product name: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4"/>
          <w:szCs w:val="24"/>
          <w:lang w:val="en-US" w:eastAsia="zh-CN" w:bidi="ar"/>
        </w:rPr>
        <w:t xml:space="preserve">Dimagnesium phosphate 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Company :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EPOCH MASTER GLOBAL BUSINESS (JIANGSU) INC.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" w:cs="Times New Roman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Address: </w:t>
      </w:r>
      <w:r>
        <w:rPr>
          <w:rFonts w:hint="default" w:ascii="Times New Roman" w:hAnsi="Times New Roman" w:eastAsia="Arial" w:cs="Times New Roman"/>
        </w:rPr>
        <w:t>RM.3-93,TENGFEI BUILDING,NO.88 JIANGMIAO RD., RESEARCH AND INNOVATION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" w:cs="Times New Roman"/>
        </w:rPr>
      </w:pPr>
      <w:r>
        <w:rPr>
          <w:rFonts w:hint="default" w:ascii="Times New Roman" w:hAnsi="Times New Roman" w:eastAsia="Arial" w:cs="Times New Roman"/>
        </w:rPr>
        <w:t>PARK,NANJING ZONE, (JIANGSU) PILOT FREE TRADE ZONE, CHINA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ambria" w:cs="Times New Roman"/>
          <w:b w:val="0"/>
          <w:bCs/>
          <w:sz w:val="21"/>
          <w:szCs w:val="22"/>
          <w:lang w:val="en-US" w:eastAsia="en-US" w:bidi="en-US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Telephone : </w:t>
      </w:r>
      <w:r>
        <w:rPr>
          <w:rFonts w:hint="default" w:ascii="Times New Roman" w:hAnsi="Times New Roman" w:eastAsia="Cambria" w:cs="Times New Roman"/>
          <w:b w:val="0"/>
          <w:bCs/>
          <w:sz w:val="21"/>
          <w:szCs w:val="22"/>
          <w:lang w:val="en-US" w:eastAsia="en-US" w:bidi="en-US"/>
        </w:rPr>
        <w:t>13770711448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Order online: http://www.epoch-master.com/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2. COMPOSITION/INFORMATION ON INGREDIENTS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Synonyms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</w:t>
      </w:r>
      <w:r>
        <w:rPr>
          <w:rFonts w:hint="default" w:eastAsia="宋体" w:cs="Arial" w:asciiTheme="majorAscii" w:hAnsiTheme="majorAscii"/>
          <w:color w:val="000000"/>
          <w:kern w:val="0"/>
          <w:sz w:val="24"/>
          <w:szCs w:val="24"/>
          <w:lang w:val="en-US" w:eastAsia="zh-CN" w:bidi="ar"/>
        </w:rPr>
        <w:t xml:space="preserve">Magnesium phosphate dibasic trihydrate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Formula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MgHPO</w:t>
      </w:r>
      <w:r>
        <w:rPr>
          <w:rFonts w:hint="default" w:eastAsia="宋体" w:cs="Arial" w:asciiTheme="majorAscii" w:hAnsiTheme="majorAscii"/>
          <w:color w:val="000000"/>
          <w:kern w:val="0"/>
          <w:sz w:val="13"/>
          <w:szCs w:val="13"/>
          <w:lang w:val="en-US" w:eastAsia="zh-CN" w:bidi="ar"/>
        </w:rPr>
        <w:t>4</w:t>
      </w:r>
      <w:r>
        <w:rPr>
          <w:rFonts w:hint="default" w:eastAsia="宋体" w:cs="宋体" w:asciiTheme="majorAscii" w:hAnsiTheme="majorAscii"/>
          <w:color w:val="000000"/>
          <w:kern w:val="0"/>
          <w:sz w:val="21"/>
          <w:szCs w:val="21"/>
          <w:lang w:val="en-US" w:eastAsia="zh-CN" w:bidi="ar"/>
        </w:rPr>
        <w:t>·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3H</w:t>
      </w:r>
      <w:r>
        <w:rPr>
          <w:rFonts w:hint="default" w:eastAsia="宋体" w:cs="Arial" w:asciiTheme="majorAscii" w:hAnsiTheme="majorAscii"/>
          <w:color w:val="000000"/>
          <w:kern w:val="0"/>
          <w:sz w:val="13"/>
          <w:szCs w:val="13"/>
          <w:lang w:val="en-US" w:eastAsia="zh-CN" w:bidi="ar"/>
        </w:rPr>
        <w:t>2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O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Molecular Weight 174.33g/mol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634"/>
        <w:gridCol w:w="16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</w:trPr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CAS-No </w:t>
            </w: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EC-No 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>Index-No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ajorAscii" w:hAnsiTheme="majorAscii"/>
              </w:rPr>
            </w:pP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Concentration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538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ajorAscii" w:hAnsiTheme="majorAscii"/>
              </w:rPr>
            </w:pPr>
            <w:r>
              <w:rPr>
                <w:rFonts w:hint="default" w:eastAsia="Arial-BoldMT" w:cs="Arial-BoldMT" w:asciiTheme="majorAscii" w:hAnsiTheme="majorAscii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Phosphoric acid, magnesium salt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7782-75-4 </w:t>
            </w:r>
            <w:r>
              <w:rPr>
                <w:rFonts w:hint="eastAsia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>231-823-5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3. HAZARDS IDENT</w:t>
      </w:r>
      <w:bookmarkStart w:id="0" w:name="_GoBack"/>
      <w:bookmarkEnd w:id="0"/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Emergency Overview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OSHA Hazards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known 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HMIS Classification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Health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Flammability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Physical hazards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NFPA Rating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Health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Fire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: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Reactivity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Potential Health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Inhalation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inhaled. May cause respiratory tract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Skin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absorbed through skin. May cause skin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Eyes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cause eye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Ingestion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swallowed.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4. FIRST AID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If inhaled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If breathed in, move person into fresh air. If not breathing give artificial respiration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 case of skin contact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Wash off with soap and plenty of water.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 case of eye contact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Flush eyes with water as a precaution.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If swallowed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Never give anything by mouth to an unconscious person. Rinse mouth with water.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5. FIRE-FIGHTING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Flammable properties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Flash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not applicable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Ignition temperature 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Suitable extinguishing media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Use water spray, alcohol-resistant foam, dry chemical or carbon dioxide.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Special protective equipment for fire-fighters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Wear self contained breathing apparatus for fire fighting if necessary.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6. ACCIDENTAL RELEASE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Personal precautions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Avoid dust formation.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Environmental precautions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Do not let product enter drains.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Methods for cleaning up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Sweep up and shovel. Keep in suitable, closed containers for disposal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7. HANDLING AND STORAGE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Handling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Provide appropriate exhaust ventilation at places where dust is formed. Normal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measures for preventive fire protection.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Storage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Keep container tightly closed in a dry and well-ventilated place. Keep in a dry place.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8. EXPOSURE CONTROLS/PERSONAL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Contains no substances with occupational exposure limit values. </w:t>
      </w:r>
    </w:p>
    <w:p>
      <w:pPr>
        <w:keepNext w:val="0"/>
        <w:keepLines w:val="0"/>
        <w:widowControl/>
        <w:suppressLineNumbers w:val="0"/>
        <w:ind w:firstLine="200" w:firstLineChars="1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Personal protective equipment </w:t>
      </w:r>
    </w:p>
    <w:p>
      <w:pPr>
        <w:keepNext w:val="0"/>
        <w:keepLines w:val="0"/>
        <w:widowControl/>
        <w:suppressLineNumbers w:val="0"/>
        <w:ind w:firstLine="400" w:firstLineChars="2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Respiratory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Respiratory protection is not required. Where protection from nuisance levels of dusts are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desired, use type N95 (US) or type P1 (EN 143) dust masks. Use respirators and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components tested and approved under appropriate government standards such as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NIOSH (US) or CEN (EU).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Hand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For prolonged or repeated contact use protective gloves.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Eye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Safety glasses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Hygiene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General industrial hygiene practice.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PHYSICALAND CHEMICALPROPERTIES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Appearance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Form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powder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Colour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white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Safety data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pH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Melting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Boiling point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Flash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Ignition temperature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Lower explosion limit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Upper explosion limit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Density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2.123 g/cm3 at 25 °C (77 °F)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Water solubility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10. STABILITY AND REACTIVITY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Storage stabilit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Stable under recommended storage conditions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Materials to avoid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Strong oxidizing agents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Hazardous decomposition products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Hazardous decomposition products formed under fire conditions. - Oxides of phosphorus,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Magnesium oxide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11. TOXICOLOGICAL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Acute toxicity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Irritation and corrosion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Sensitisation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Chronic exposure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IARC: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probable, possible or confirmed human carcinogen by IARC.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ACGIH: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identified as a carcinogen or potential carcinogen by ACGIH.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NTP: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a known or anticipated carcinogen by NTP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OSHA: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ind w:firstLine="1800" w:firstLineChars="90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a carcinogen or potential carcinogen byOSHA </w:t>
      </w:r>
    </w:p>
    <w:p>
      <w:pPr>
        <w:keepNext w:val="0"/>
        <w:keepLines w:val="0"/>
        <w:widowControl/>
        <w:suppressLineNumbers w:val="0"/>
        <w:ind w:firstLine="1800" w:firstLineChars="90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>Signs and Symptoms of Exposure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the best of our knowledge, the chemical, physical, and toxicological properties have not been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thoroughly investigated.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Potential Health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Inhalation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inhaled. May cause respiratory tractirritation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Skin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absorbed through skin. May cause skinirritation.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Eyes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cause eye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Ingestion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swallowed.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12. ECOLOGICAL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Elimination information (persistence and degradability)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Ecotoxicity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Further information on ecology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13. DISPOSAL CONSIDERATIONS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Product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Observe all federal, state, and local environmental regulations.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Contaminated packaging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Dispose of as unused product.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14. TRANSPORT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DOT (US)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IMDG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IATA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15.REGULATORY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known 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DSL Status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This product contains the following components listed on the Canadian NDSL list. All other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components are on the Canadian DSL list.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Phosphoric acid, magnesium salt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CAS-No:7782-75-4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SARA 302 Components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SARA 302: No chemicals in this material are subject to the reporting requirements of SARA Title III,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Section 302.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SARA 313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SARA 313: This material does not contain any chemical components with known CAS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numbers that exceed the threshold (De Minimis) reporting levels established by SARA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Title III, Section 313.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SARA 311/312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SARA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Massachusetts Right To Know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components are subject to the Massachusetts Right to Know Act.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Pennsylvania Right To Know Components </w:t>
      </w:r>
    </w:p>
    <w:p>
      <w:pPr>
        <w:keepNext w:val="0"/>
        <w:keepLines w:val="0"/>
        <w:widowControl/>
        <w:suppressLineNumbers w:val="0"/>
        <w:ind w:firstLine="4560" w:firstLineChars="24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CAS-No.R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Revision Date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Phosphoric acid, magnesium salt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New Jersey Right To Know Components </w:t>
      </w:r>
    </w:p>
    <w:p>
      <w:pPr>
        <w:keepNext w:val="0"/>
        <w:keepLines w:val="0"/>
        <w:widowControl/>
        <w:suppressLineNumbers w:val="0"/>
        <w:ind w:firstLine="4750" w:firstLineChars="25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CAS-No.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Rvision Date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Phosphoric acid, magnesium salt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California Prop. 65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This product does not contain any chemicals known to State of California to cause cancer, birth, or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any other reproductive defects.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16. OTHER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References: Not available.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Other Special Considerations: Not available</w:t>
      </w:r>
    </w:p>
    <w:p>
      <w:pPr>
        <w:rPr>
          <w:rFonts w:hint="default" w:asciiTheme="majorAscii" w:hAnsiTheme="majorAscii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4637405</wp:posOffset>
            </wp:positionH>
            <wp:positionV relativeFrom="paragraph">
              <wp:posOffset>48260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footerReference r:id="rId6" w:type="default"/>
      <w:pgSz w:w="11910" w:h="16840"/>
      <w:pgMar w:top="918" w:right="540" w:bottom="952" w:left="540" w:header="397" w:footer="7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10016490</wp:posOffset>
              </wp:positionV>
              <wp:extent cx="109220" cy="139700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788.7pt;height:11pt;width:8.6pt;mso-position-horizontal:center;mso-position-horizontal-relative:margin;mso-position-vertical-relative:page;z-index:251660288;mso-width-relative:page;mso-height-relative:page;" filled="f" stroked="f" coordsize="21600,21600" o:gfxdata="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U7Jwv1wAAAAkBAAAPAAAAAAAAAAEAIAAAACIAAABkcnMvZG93bnJldi54bWxQSwEC&#10;FAAUAAAACACHTuJAioZoVLwBAAB0AwAADgAAAAAAAAABACAAAAAm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617855</wp:posOffset>
          </wp:positionH>
          <wp:positionV relativeFrom="paragraph">
            <wp:posOffset>-116840</wp:posOffset>
          </wp:positionV>
          <wp:extent cx="1089025" cy="74676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4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接连接符 3" o:spid="_x0000_s1026" o:spt="20" style="position:absolute;left:0pt;margin-left:-27pt;margin-top:17.3pt;height:0pt;width:594.65pt;z-index:251662336;mso-width-relative:page;mso-height-relative:page;" filled="f" stroked="t" coordsize="21600,21600" o:gfxdata="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0+ckdkAAAAKAQAADwAAAAAAAAABACAAAAAiAAAAZHJzL2Rvd25yZXYueG1s&#10;UEsBAhQAFAAAAAgAh07iQGzzj/H3AQAA4gMAAA4AAAAAAAAAAQAgAAAAKAEAAGRycy9lMm9Eb2Mu&#10;eG1sUEsFBgAAAAAGAAYAWQEAAJEFAAAAAA=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  <w:p>
    <w:pPr>
      <w:keepNext w:val="0"/>
      <w:keepLines w:val="0"/>
      <w:widowControl/>
      <w:suppressLineNumbers w:val="0"/>
      <w:ind w:left="0" w:leftChars="0" w:firstLine="0" w:firstLineChars="0"/>
      <w:jc w:val="both"/>
    </w:pPr>
    <w:r>
      <w:rPr>
        <w:rFonts w:hint="eastAsia" w:ascii="Times New Roman" w:hAnsi="Times New Roman" w:eastAsia="宋体" w:cs="Times New Roman"/>
        <w:bCs/>
        <w:caps/>
        <w:smallCaps w:val="0"/>
        <w:sz w:val="18"/>
        <w:szCs w:val="18"/>
        <w:lang w:val="en-US" w:eastAsia="zh-CN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703AD"/>
    <w:multiLevelType w:val="singleLevel"/>
    <w:tmpl w:val="834703A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DYzY2QyMmY0Y2FmNzkzYjAyYmI0MTY3MDkxYTMifQ=="/>
  </w:docVars>
  <w:rsids>
    <w:rsidRoot w:val="00000000"/>
    <w:rsid w:val="09E34382"/>
    <w:rsid w:val="0F110E51"/>
    <w:rsid w:val="18785F39"/>
    <w:rsid w:val="187E54AC"/>
    <w:rsid w:val="1A800AEF"/>
    <w:rsid w:val="21524FBC"/>
    <w:rsid w:val="21AA49A0"/>
    <w:rsid w:val="225063B2"/>
    <w:rsid w:val="3D507DB0"/>
    <w:rsid w:val="41AE24FF"/>
    <w:rsid w:val="442259B2"/>
    <w:rsid w:val="7D5A6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16"/>
      <w:ind w:left="6326"/>
      <w:outlineLvl w:val="1"/>
    </w:pPr>
    <w:rPr>
      <w:rFonts w:ascii="Cambria" w:hAnsi="Cambria" w:eastAsia="Cambria" w:cs="Cambria"/>
      <w:b/>
      <w:bCs/>
      <w:sz w:val="36"/>
      <w:szCs w:val="3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spacing w:before="66"/>
      <w:ind w:left="180"/>
      <w:outlineLvl w:val="2"/>
    </w:pPr>
    <w:rPr>
      <w:rFonts w:ascii="Cambria" w:hAnsi="Cambria" w:eastAsia="Cambria" w:cs="Cambria"/>
      <w:b/>
      <w:bCs/>
      <w:sz w:val="21"/>
      <w:szCs w:val="21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1"/>
      <w:szCs w:val="21"/>
      <w:lang w:val="en-US" w:eastAsia="en-US" w:bidi="en-US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en-US" w:eastAsia="en-US" w:bidi="en-US"/>
    </w:rPr>
  </w:style>
  <w:style w:type="paragraph" w:customStyle="1" w:styleId="11">
    <w:name w:val="Table Paragraph"/>
    <w:basedOn w:val="1"/>
    <w:qFormat/>
    <w:uiPriority w:val="1"/>
    <w:pPr>
      <w:spacing w:before="48"/>
      <w:ind w:left="319" w:right="467"/>
      <w:jc w:val="center"/>
    </w:pPr>
    <w:rPr>
      <w:rFonts w:ascii="Cambria" w:hAnsi="Cambria" w:eastAsia="Cambria" w:cs="Cambri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875</Words>
  <Characters>5295</Characters>
  <TotalTime>1</TotalTime>
  <ScaleCrop>false</ScaleCrop>
  <LinksUpToDate>false</LinksUpToDate>
  <CharactersWithSpaces>7103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2022-06-27T07:42:00Z</dcterms:created>
  <dc:creator>toshiba</dc:creator>
  <cp:lastModifiedBy>吴惠婷</cp:lastModifiedBy>
  <dcterms:modified xsi:type="dcterms:W3CDTF">2022-12-26T07:45:52Z</dcterms:modified>
  <dc:title>Fumaric Acid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2022-06-27T00:00:00Z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8F49AD0389124CF285C74E7AB8016B6A</vt:lpwstr>
  </property>
</Properties>
</file>