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3"/>
        <w:ind w:left="2627" w:right="2621" w:firstLine="0"/>
        <w:jc w:val="center"/>
        <w:rPr>
          <w:b/>
          <w:sz w:val="36"/>
        </w:rPr>
      </w:pPr>
      <w:r>
        <w:rPr>
          <w:b/>
          <w:sz w:val="36"/>
        </w:rPr>
        <w:t>Dicalcium Phosphate Anhydrous</w:t>
      </w:r>
    </w:p>
    <w:p>
      <w:pPr>
        <w:pStyle w:val="2"/>
        <w:spacing w:before="233"/>
        <w:rPr>
          <w:u w:val="none"/>
        </w:rPr>
      </w:pPr>
      <w:r>
        <w:rPr>
          <w:u w:val="thick"/>
        </w:rPr>
        <w:t>General Characteristics:</w:t>
      </w:r>
    </w:p>
    <w:p>
      <w:pPr>
        <w:pStyle w:val="4"/>
        <w:spacing w:before="4"/>
        <w:ind w:left="0"/>
        <w:rPr>
          <w:b/>
        </w:rPr>
      </w:pPr>
    </w:p>
    <w:p>
      <w:pPr>
        <w:tabs>
          <w:tab w:val="left" w:pos="3587"/>
        </w:tabs>
        <w:spacing w:before="90"/>
        <w:ind w:left="980" w:right="0" w:firstLine="0"/>
        <w:jc w:val="left"/>
        <w:rPr>
          <w:sz w:val="24"/>
        </w:rPr>
      </w:pPr>
      <w:r>
        <w:rPr>
          <w:b/>
          <w:sz w:val="24"/>
        </w:rPr>
        <w:t>Product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code:</w:t>
      </w:r>
      <w:r>
        <w:rPr>
          <w:b/>
          <w:sz w:val="24"/>
        </w:rPr>
        <w:tab/>
      </w:r>
      <w:r>
        <w:rPr>
          <w:spacing w:val="-4"/>
          <w:sz w:val="24"/>
        </w:rPr>
        <w:t>DCPA5W</w:t>
      </w:r>
    </w:p>
    <w:p>
      <w:pPr>
        <w:tabs>
          <w:tab w:val="left" w:pos="3587"/>
        </w:tabs>
        <w:spacing w:before="7"/>
        <w:ind w:left="980" w:right="0" w:firstLine="0"/>
        <w:jc w:val="left"/>
        <w:rPr>
          <w:sz w:val="24"/>
        </w:rPr>
      </w:pPr>
      <w:r>
        <w:rPr>
          <w:b/>
          <w:sz w:val="24"/>
        </w:rPr>
        <w:t>Formula:</w:t>
      </w:r>
      <w:r>
        <w:rPr>
          <w:b/>
          <w:sz w:val="24"/>
        </w:rPr>
        <w:tab/>
      </w:r>
      <w:r>
        <w:rPr>
          <w:position w:val="0"/>
          <w:sz w:val="24"/>
        </w:rPr>
        <w:t>CaHPO</w:t>
      </w:r>
      <w:r>
        <w:rPr>
          <w:position w:val="0"/>
          <w:sz w:val="24"/>
          <w:vertAlign w:val="subscript"/>
        </w:rPr>
        <w:t>4</w:t>
      </w:r>
    </w:p>
    <w:p>
      <w:pPr>
        <w:tabs>
          <w:tab w:val="left" w:pos="3587"/>
        </w:tabs>
        <w:spacing w:before="9" w:line="302" w:lineRule="exact"/>
        <w:ind w:left="980" w:right="0" w:firstLine="0"/>
        <w:jc w:val="left"/>
        <w:rPr>
          <w:sz w:val="24"/>
        </w:rPr>
      </w:pPr>
      <w:r>
        <w:rPr>
          <w:b/>
          <w:sz w:val="24"/>
        </w:rPr>
        <w:t>Appearance:</w:t>
      </w:r>
      <w:r>
        <w:rPr>
          <w:b/>
          <w:sz w:val="24"/>
        </w:rPr>
        <w:tab/>
      </w:r>
      <w:r>
        <w:rPr>
          <w:position w:val="-2"/>
          <w:sz w:val="24"/>
        </w:rPr>
        <w:t>White</w:t>
      </w:r>
      <w:r>
        <w:rPr>
          <w:spacing w:val="-2"/>
          <w:position w:val="-2"/>
          <w:sz w:val="24"/>
        </w:rPr>
        <w:t xml:space="preserve"> </w:t>
      </w:r>
      <w:r>
        <w:rPr>
          <w:position w:val="-2"/>
          <w:sz w:val="24"/>
        </w:rPr>
        <w:t>powder</w:t>
      </w:r>
      <w:bookmarkStart w:id="0" w:name="_GoBack"/>
      <w:bookmarkEnd w:id="0"/>
    </w:p>
    <w:p>
      <w:pPr>
        <w:tabs>
          <w:tab w:val="right" w:pos="4247"/>
        </w:tabs>
        <w:spacing w:before="0" w:line="272" w:lineRule="exact"/>
        <w:ind w:left="980" w:right="0" w:firstLine="0"/>
        <w:jc w:val="left"/>
        <w:rPr>
          <w:sz w:val="24"/>
        </w:rPr>
      </w:pPr>
      <w:r>
        <w:rPr>
          <w:b/>
          <w:sz w:val="24"/>
        </w:rPr>
        <w:t>Molecular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weight:</w:t>
      </w:r>
      <w:r>
        <w:rPr>
          <w:b/>
          <w:sz w:val="24"/>
        </w:rPr>
        <w:tab/>
      </w:r>
      <w:r>
        <w:rPr>
          <w:sz w:val="24"/>
        </w:rPr>
        <w:t>136.06</w:t>
      </w:r>
    </w:p>
    <w:p>
      <w:pPr>
        <w:tabs>
          <w:tab w:val="left" w:pos="3587"/>
        </w:tabs>
        <w:spacing w:before="12"/>
        <w:ind w:left="980" w:right="0" w:firstLine="0"/>
        <w:jc w:val="left"/>
        <w:rPr>
          <w:sz w:val="24"/>
        </w:rPr>
      </w:pPr>
      <w:r>
        <w:rPr>
          <w:b/>
          <w:sz w:val="24"/>
        </w:rPr>
        <w:t>Odor:</w:t>
      </w:r>
      <w:r>
        <w:rPr>
          <w:b/>
          <w:sz w:val="24"/>
        </w:rPr>
        <w:tab/>
      </w:r>
      <w:r>
        <w:rPr>
          <w:sz w:val="24"/>
        </w:rPr>
        <w:t>Odorless</w:t>
      </w:r>
    </w:p>
    <w:p>
      <w:pPr>
        <w:tabs>
          <w:tab w:val="left" w:pos="3587"/>
        </w:tabs>
        <w:spacing w:before="7" w:line="284" w:lineRule="exact"/>
        <w:ind w:left="980" w:right="0" w:firstLine="0"/>
        <w:jc w:val="left"/>
        <w:rPr>
          <w:sz w:val="24"/>
        </w:rPr>
      </w:pPr>
      <w:r>
        <w:rPr>
          <w:b/>
          <w:position w:val="1"/>
          <w:sz w:val="24"/>
        </w:rPr>
        <w:t>CAS</w:t>
      </w:r>
      <w:r>
        <w:rPr>
          <w:b/>
          <w:spacing w:val="-2"/>
          <w:position w:val="1"/>
          <w:sz w:val="24"/>
        </w:rPr>
        <w:t xml:space="preserve"> </w:t>
      </w:r>
      <w:r>
        <w:rPr>
          <w:b/>
          <w:position w:val="1"/>
          <w:sz w:val="24"/>
        </w:rPr>
        <w:t>Number:</w:t>
      </w:r>
      <w:r>
        <w:rPr>
          <w:b/>
          <w:position w:val="1"/>
          <w:sz w:val="24"/>
        </w:rPr>
        <w:tab/>
      </w:r>
      <w:r>
        <w:rPr>
          <w:sz w:val="24"/>
        </w:rPr>
        <w:t>[7757-93-9]</w:t>
      </w:r>
    </w:p>
    <w:p>
      <w:pPr>
        <w:tabs>
          <w:tab w:val="right" w:pos="4585"/>
        </w:tabs>
        <w:spacing w:before="0" w:line="274" w:lineRule="exact"/>
        <w:ind w:left="980" w:right="0" w:firstLine="0"/>
        <w:jc w:val="left"/>
        <w:rPr>
          <w:sz w:val="24"/>
        </w:rPr>
      </w:pPr>
      <w:r>
        <w:rPr>
          <w:b/>
          <w:sz w:val="24"/>
        </w:rPr>
        <w:t>EINECS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No.:</w:t>
      </w:r>
      <w:r>
        <w:rPr>
          <w:b/>
          <w:sz w:val="24"/>
        </w:rPr>
        <w:tab/>
      </w:r>
      <w:r>
        <w:rPr>
          <w:sz w:val="24"/>
        </w:rPr>
        <w:t>231-826-1</w:t>
      </w:r>
    </w:p>
    <w:p>
      <w:pPr>
        <w:tabs>
          <w:tab w:val="left" w:pos="3587"/>
        </w:tabs>
        <w:spacing w:before="7" w:line="276" w:lineRule="exact"/>
        <w:ind w:left="980" w:right="0" w:firstLine="0"/>
        <w:jc w:val="left"/>
        <w:rPr>
          <w:sz w:val="24"/>
        </w:rPr>
      </w:pPr>
      <w:r>
        <w:rPr>
          <w:b/>
          <w:sz w:val="24"/>
        </w:rPr>
        <w:t>INS:</w:t>
      </w:r>
      <w:r>
        <w:rPr>
          <w:b/>
          <w:sz w:val="24"/>
        </w:rPr>
        <w:tab/>
      </w:r>
      <w:r>
        <w:rPr>
          <w:sz w:val="24"/>
        </w:rPr>
        <w:t>341(ii)</w:t>
      </w:r>
    </w:p>
    <w:p>
      <w:pPr>
        <w:pStyle w:val="4"/>
        <w:tabs>
          <w:tab w:val="left" w:pos="3587"/>
        </w:tabs>
        <w:spacing w:line="311" w:lineRule="exact"/>
      </w:pPr>
      <w:r>
        <w:rPr>
          <w:b/>
        </w:rPr>
        <w:t>Solubility</w:t>
      </w:r>
      <w:r>
        <w:rPr>
          <w:rFonts w:hint="eastAsia" w:ascii="宋体" w:eastAsia="宋体"/>
          <w:b/>
        </w:rPr>
        <w:t>：</w:t>
      </w:r>
      <w:r>
        <w:rPr>
          <w:rFonts w:hint="eastAsia" w:ascii="宋体" w:eastAsia="宋体"/>
          <w:b/>
        </w:rPr>
        <w:tab/>
      </w:r>
      <w:r>
        <w:rPr>
          <w:position w:val="2"/>
        </w:rPr>
        <w:t>Almost insoluble in water, insoluble in ethanol, soluble in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acid.</w:t>
      </w:r>
    </w:p>
    <w:p>
      <w:pPr>
        <w:pStyle w:val="2"/>
        <w:spacing w:before="102"/>
        <w:rPr>
          <w:u w:val="none"/>
        </w:rPr>
      </w:pPr>
      <w:r>
        <w:rPr>
          <w:u w:val="thick"/>
        </w:rPr>
        <w:t>Uses:</w:t>
      </w:r>
    </w:p>
    <w:p>
      <w:pPr>
        <w:pStyle w:val="9"/>
        <w:numPr>
          <w:ilvl w:val="0"/>
          <w:numId w:val="1"/>
        </w:numPr>
        <w:tabs>
          <w:tab w:val="left" w:pos="1359"/>
          <w:tab w:val="left" w:pos="1360"/>
        </w:tabs>
        <w:spacing w:before="129" w:after="0" w:line="240" w:lineRule="auto"/>
        <w:ind w:left="1360" w:right="0" w:hanging="420"/>
        <w:jc w:val="left"/>
        <w:rPr>
          <w:rFonts w:ascii="Wingdings" w:hAnsi="Wingdings"/>
          <w:sz w:val="24"/>
        </w:rPr>
      </w:pPr>
      <w:r>
        <w:rPr>
          <w:sz w:val="24"/>
        </w:rPr>
        <w:t>Polishing agent,emulsifier,dough modifier,water retention</w:t>
      </w:r>
      <w:r>
        <w:rPr>
          <w:spacing w:val="-3"/>
          <w:sz w:val="24"/>
        </w:rPr>
        <w:t xml:space="preserve"> </w:t>
      </w:r>
      <w:r>
        <w:rPr>
          <w:sz w:val="24"/>
        </w:rPr>
        <w:t>agent.</w:t>
      </w:r>
    </w:p>
    <w:p>
      <w:pPr>
        <w:pStyle w:val="9"/>
        <w:numPr>
          <w:ilvl w:val="0"/>
          <w:numId w:val="1"/>
        </w:numPr>
        <w:tabs>
          <w:tab w:val="left" w:pos="1359"/>
          <w:tab w:val="left" w:pos="1360"/>
        </w:tabs>
        <w:spacing w:before="2" w:after="0" w:line="240" w:lineRule="auto"/>
        <w:ind w:left="1360" w:right="0" w:hanging="420"/>
        <w:jc w:val="left"/>
        <w:rPr>
          <w:rFonts w:ascii="Wingdings" w:hAnsi="Wingdings"/>
          <w:sz w:val="24"/>
        </w:rPr>
      </w:pPr>
      <w:r>
        <w:rPr>
          <w:sz w:val="24"/>
        </w:rPr>
        <w:t>Loose machine,stabilizer,nutritional supplements,creta</w:t>
      </w:r>
      <w:r>
        <w:rPr>
          <w:spacing w:val="-4"/>
          <w:sz w:val="24"/>
        </w:rPr>
        <w:t xml:space="preserve"> </w:t>
      </w:r>
      <w:r>
        <w:rPr>
          <w:sz w:val="24"/>
        </w:rPr>
        <w:t>preparata.</w:t>
      </w:r>
    </w:p>
    <w:p>
      <w:pPr>
        <w:pStyle w:val="9"/>
        <w:numPr>
          <w:ilvl w:val="0"/>
          <w:numId w:val="1"/>
        </w:numPr>
        <w:tabs>
          <w:tab w:val="left" w:pos="1359"/>
          <w:tab w:val="left" w:pos="1360"/>
        </w:tabs>
        <w:spacing w:before="5" w:after="0" w:line="240" w:lineRule="auto"/>
        <w:ind w:left="1360" w:right="0" w:hanging="420"/>
        <w:jc w:val="left"/>
        <w:rPr>
          <w:rFonts w:ascii="Wingdings" w:hAnsi="Wingdings"/>
          <w:sz w:val="24"/>
        </w:rPr>
      </w:pPr>
      <w:r>
        <w:rPr>
          <w:sz w:val="24"/>
        </w:rPr>
        <w:t>Fortification of cereals and other processed food, poultry auxiliary</w:t>
      </w:r>
      <w:r>
        <w:rPr>
          <w:spacing w:val="-2"/>
          <w:sz w:val="24"/>
        </w:rPr>
        <w:t xml:space="preserve"> </w:t>
      </w:r>
      <w:r>
        <w:rPr>
          <w:sz w:val="24"/>
        </w:rPr>
        <w:t>feed.</w:t>
      </w:r>
    </w:p>
    <w:p>
      <w:pPr>
        <w:pStyle w:val="2"/>
        <w:spacing w:before="132"/>
        <w:rPr>
          <w:u w:val="none"/>
        </w:rPr>
      </w:pPr>
      <w:r>
        <w:rPr>
          <w:u w:val="thick"/>
        </w:rPr>
        <w:t>Packing and Storage:</w:t>
      </w:r>
    </w:p>
    <w:p>
      <w:pPr>
        <w:pStyle w:val="9"/>
        <w:numPr>
          <w:ilvl w:val="0"/>
          <w:numId w:val="1"/>
        </w:numPr>
        <w:tabs>
          <w:tab w:val="left" w:pos="1360"/>
        </w:tabs>
        <w:spacing w:before="118" w:after="0" w:line="240" w:lineRule="auto"/>
        <w:ind w:left="1360" w:right="0" w:hanging="420"/>
        <w:jc w:val="left"/>
        <w:rPr>
          <w:rFonts w:ascii="Wingdings" w:hAnsi="Wingdings"/>
          <w:sz w:val="28"/>
        </w:rPr>
      </w:pPr>
      <w:r>
        <w:rPr>
          <w:sz w:val="24"/>
        </w:rPr>
        <w:t>25kg/net paper bag and PE bags sealed</w:t>
      </w:r>
      <w:r>
        <w:rPr>
          <w:spacing w:val="1"/>
          <w:sz w:val="24"/>
        </w:rPr>
        <w:t xml:space="preserve"> </w:t>
      </w:r>
      <w:r>
        <w:rPr>
          <w:sz w:val="24"/>
        </w:rPr>
        <w:t>inside.</w:t>
      </w:r>
    </w:p>
    <w:p>
      <w:pPr>
        <w:pStyle w:val="9"/>
        <w:numPr>
          <w:ilvl w:val="0"/>
          <w:numId w:val="1"/>
        </w:numPr>
        <w:tabs>
          <w:tab w:val="left" w:pos="1359"/>
          <w:tab w:val="left" w:pos="1360"/>
        </w:tabs>
        <w:spacing w:before="17" w:after="0" w:line="259" w:lineRule="auto"/>
        <w:ind w:left="1360" w:right="932" w:hanging="420"/>
        <w:jc w:val="left"/>
        <w:rPr>
          <w:rFonts w:ascii="Wingdings" w:hAnsi="Wingdings"/>
          <w:sz w:val="20"/>
        </w:rPr>
      </w:pPr>
      <w:r>
        <w:rPr>
          <w:sz w:val="24"/>
        </w:rPr>
        <w:t>Store in a well-closed bag at room temperature, protect from light, moisture and pest</w:t>
      </w:r>
      <w:r>
        <w:rPr>
          <w:spacing w:val="-1"/>
          <w:sz w:val="24"/>
        </w:rPr>
        <w:t xml:space="preserve"> </w:t>
      </w:r>
      <w:r>
        <w:rPr>
          <w:sz w:val="24"/>
        </w:rPr>
        <w:t>infestation.</w:t>
      </w:r>
    </w:p>
    <w:p>
      <w:pPr>
        <w:pStyle w:val="9"/>
        <w:numPr>
          <w:ilvl w:val="0"/>
          <w:numId w:val="1"/>
        </w:numPr>
        <w:tabs>
          <w:tab w:val="left" w:pos="1359"/>
          <w:tab w:val="left" w:pos="1360"/>
          <w:tab w:val="left" w:leader="hyphen" w:pos="2483"/>
        </w:tabs>
        <w:spacing w:before="4" w:after="0" w:line="240" w:lineRule="auto"/>
        <w:ind w:left="1360" w:right="0" w:hanging="420"/>
        <w:jc w:val="left"/>
        <w:rPr>
          <w:rFonts w:ascii="Wingdings" w:hAnsi="Wingdings"/>
          <w:sz w:val="20"/>
        </w:rPr>
      </w:pPr>
      <w:r>
        <w:rPr>
          <w:sz w:val="24"/>
        </w:rPr>
        <w:t>Shelf</w:t>
      </w:r>
      <w:r>
        <w:rPr>
          <w:spacing w:val="-2"/>
          <w:sz w:val="24"/>
        </w:rPr>
        <w:t xml:space="preserve"> </w:t>
      </w:r>
      <w:r>
        <w:rPr>
          <w:sz w:val="24"/>
        </w:rPr>
        <w:t>life</w:t>
      </w:r>
      <w:r>
        <w:rPr>
          <w:sz w:val="24"/>
        </w:rPr>
        <w:tab/>
      </w:r>
      <w:r>
        <w:rPr>
          <w:sz w:val="24"/>
        </w:rPr>
        <w:t>two</w:t>
      </w:r>
      <w:r>
        <w:rPr>
          <w:spacing w:val="2"/>
          <w:sz w:val="24"/>
        </w:rPr>
        <w:t xml:space="preserve"> </w:t>
      </w:r>
      <w:r>
        <w:rPr>
          <w:sz w:val="24"/>
        </w:rPr>
        <w:t>years</w:t>
      </w:r>
    </w:p>
    <w:p>
      <w:pPr>
        <w:pStyle w:val="2"/>
        <w:spacing w:before="134"/>
        <w:rPr>
          <w:u w:val="none"/>
        </w:rPr>
      </w:pPr>
      <w:r>
        <w:rPr>
          <w:u w:val="thick"/>
        </w:rPr>
        <w:t>Microbiological Specification:</w:t>
      </w:r>
    </w:p>
    <w:p>
      <w:pPr>
        <w:pStyle w:val="4"/>
        <w:spacing w:before="6"/>
        <w:ind w:left="0"/>
        <w:rPr>
          <w:b/>
        </w:rPr>
      </w:pPr>
    </w:p>
    <w:p>
      <w:pPr>
        <w:pStyle w:val="4"/>
        <w:tabs>
          <w:tab w:val="left" w:pos="3932"/>
        </w:tabs>
        <w:spacing w:before="90"/>
      </w:pPr>
      <w:r>
        <w:rPr>
          <w:spacing w:val="-4"/>
        </w:rPr>
        <w:t>Total</w:t>
      </w:r>
      <w:r>
        <w:rPr>
          <w:spacing w:val="-1"/>
        </w:rPr>
        <w:t xml:space="preserve"> </w:t>
      </w:r>
      <w:r>
        <w:t>viable</w:t>
      </w:r>
      <w:r>
        <w:rPr>
          <w:spacing w:val="1"/>
        </w:rPr>
        <w:t xml:space="preserve"> </w:t>
      </w:r>
      <w:r>
        <w:t>count</w:t>
      </w:r>
      <w:r>
        <w:tab/>
      </w:r>
      <w:r>
        <w:t>1,000CFU/gr.max</w:t>
      </w:r>
    </w:p>
    <w:p>
      <w:pPr>
        <w:pStyle w:val="4"/>
        <w:tabs>
          <w:tab w:val="left" w:pos="3932"/>
        </w:tabs>
        <w:spacing w:before="36"/>
      </w:pPr>
      <w:r>
        <w:rPr>
          <w:spacing w:val="-3"/>
        </w:rPr>
        <w:t>Yeast&amp;Molds</w:t>
      </w:r>
      <w:r>
        <w:rPr>
          <w:spacing w:val="-3"/>
        </w:rPr>
        <w:tab/>
      </w:r>
      <w:r>
        <w:t>50CFU/gr.max</w:t>
      </w:r>
    </w:p>
    <w:p>
      <w:pPr>
        <w:pStyle w:val="4"/>
        <w:tabs>
          <w:tab w:val="left" w:pos="3932"/>
        </w:tabs>
        <w:spacing w:before="31"/>
      </w:pPr>
      <w:r>
        <w:t>E.Coli</w:t>
      </w:r>
      <w:r>
        <w:tab/>
      </w:r>
      <w:r>
        <w:t>Absent</w:t>
      </w:r>
    </w:p>
    <w:p>
      <w:pPr>
        <w:pStyle w:val="4"/>
        <w:tabs>
          <w:tab w:val="left" w:pos="3932"/>
        </w:tabs>
        <w:spacing w:before="34"/>
      </w:pPr>
      <w:r>
        <w:t>Shigella</w:t>
      </w:r>
      <w:r>
        <w:tab/>
      </w:r>
      <w:r>
        <w:t>Absent</w:t>
      </w:r>
    </w:p>
    <w:p>
      <w:pPr>
        <w:pStyle w:val="4"/>
        <w:tabs>
          <w:tab w:val="left" w:pos="3932"/>
        </w:tabs>
        <w:spacing w:before="31"/>
      </w:pPr>
      <w:r>
        <w:t>S.</w:t>
      </w:r>
      <w:r>
        <w:rPr>
          <w:spacing w:val="-2"/>
        </w:rPr>
        <w:t xml:space="preserve"> </w:t>
      </w:r>
      <w:r>
        <w:t>aureus</w:t>
      </w:r>
      <w:r>
        <w:tab/>
      </w:r>
      <w:r>
        <w:t>Absent</w:t>
      </w:r>
    </w:p>
    <w:p>
      <w:pPr>
        <w:pStyle w:val="4"/>
        <w:tabs>
          <w:tab w:val="left" w:pos="3932"/>
        </w:tabs>
        <w:spacing w:before="29"/>
      </w:pPr>
      <w:r>
        <w:t>S.hemolyticus</w:t>
      </w:r>
      <w:r>
        <w:tab/>
      </w:r>
      <w:r>
        <w:t>Absent</w:t>
      </w:r>
    </w:p>
    <w:p>
      <w:pPr>
        <w:pStyle w:val="4"/>
        <w:tabs>
          <w:tab w:val="left" w:pos="3932"/>
        </w:tabs>
        <w:spacing w:before="31"/>
      </w:pPr>
      <w:r>
        <w:t>Salmonella</w:t>
      </w:r>
      <w:r>
        <w:tab/>
      </w:r>
      <w:r>
        <w:t>Absent</w:t>
      </w:r>
    </w:p>
    <w:p>
      <w:pPr>
        <w:pStyle w:val="2"/>
        <w:spacing w:before="129"/>
        <w:rPr>
          <w:u w:val="none"/>
        </w:rPr>
      </w:pPr>
      <w:r>
        <w:rPr>
          <w:u w:val="thick"/>
        </w:rPr>
        <w:t>GMO-Status:</w:t>
      </w:r>
    </w:p>
    <w:p>
      <w:pPr>
        <w:pStyle w:val="4"/>
        <w:spacing w:before="192"/>
        <w:ind w:left="940"/>
      </w:pPr>
      <w:r>
        <w:t>The product is a non GMO product and is free from any recombinant DNA.</w:t>
      </w:r>
    </w:p>
    <w:p>
      <w:pPr>
        <w:pStyle w:val="2"/>
        <w:spacing w:before="148"/>
        <w:rPr>
          <w:u w:val="none"/>
        </w:rPr>
      </w:pPr>
      <w:r>
        <w:rPr>
          <w:u w:val="thick"/>
        </w:rPr>
        <w:t>Irradiation/Radioactivity:</w:t>
      </w:r>
    </w:p>
    <w:p>
      <w:pPr>
        <w:pStyle w:val="4"/>
        <w:spacing w:before="158" w:line="280" w:lineRule="auto"/>
        <w:ind w:left="940" w:right="699"/>
      </w:pPr>
      <w:r>
        <w:t>Yunbo’s Dicalcium phosphate anhydrous was never subjected to any kind of ionized irradiation and contains no radioactivity not even in minor amounts.</w:t>
      </w:r>
    </w:p>
    <w:p>
      <w:pPr>
        <w:pStyle w:val="2"/>
        <w:spacing w:before="91"/>
        <w:rPr>
          <w:u w:val="none"/>
        </w:rPr>
      </w:pPr>
      <w:r>
        <w:rPr>
          <w:u w:val="thick"/>
        </w:rPr>
        <w:t>BSE/TSE:</w:t>
      </w:r>
    </w:p>
    <w:p>
      <w:pPr>
        <w:pStyle w:val="4"/>
        <w:spacing w:before="191" w:line="312" w:lineRule="auto"/>
        <w:ind w:left="940" w:right="699"/>
      </w:pPr>
      <w:r>
        <w:t>No raw materials from bovine origin are used nor are any bovine constituents present in the product.</w:t>
      </w:r>
    </w:p>
    <w:p>
      <w:pPr>
        <w:spacing w:after="0" w:line="312" w:lineRule="auto"/>
        <w:sectPr>
          <w:headerReference r:id="rId5" w:type="default"/>
          <w:type w:val="continuous"/>
          <w:pgSz w:w="11910" w:h="16840"/>
          <w:pgMar w:top="1500" w:right="700" w:bottom="280" w:left="860" w:header="643" w:footer="720" w:gutter="0"/>
          <w:cols w:space="720" w:num="1"/>
        </w:sectPr>
      </w:pPr>
    </w:p>
    <w:p>
      <w:pPr>
        <w:pStyle w:val="2"/>
        <w:rPr>
          <w:u w:val="none"/>
        </w:rPr>
      </w:pPr>
      <w:r>
        <w:rPr>
          <w:u w:val="thick"/>
        </w:rPr>
        <w:t>Specifications(BP/USP/E341(ⅰⅰ)/FCC):</w:t>
      </w:r>
    </w:p>
    <w:p>
      <w:pPr>
        <w:pStyle w:val="4"/>
        <w:ind w:left="0"/>
        <w:rPr>
          <w:b/>
        </w:rPr>
      </w:pPr>
    </w:p>
    <w:tbl>
      <w:tblPr>
        <w:tblStyle w:val="6"/>
        <w:tblW w:w="0" w:type="auto"/>
        <w:tblInd w:w="1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5"/>
        <w:gridCol w:w="2127"/>
        <w:gridCol w:w="2182"/>
        <w:gridCol w:w="2092"/>
        <w:gridCol w:w="14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195" w:type="dxa"/>
          </w:tcPr>
          <w:p>
            <w:pPr>
              <w:pStyle w:val="10"/>
              <w:spacing w:before="35"/>
              <w:ind w:left="410"/>
              <w:rPr>
                <w:b/>
                <w:sz w:val="21"/>
              </w:rPr>
            </w:pPr>
            <w:r>
              <w:rPr>
                <w:b/>
                <w:sz w:val="21"/>
              </w:rPr>
              <w:t>Test Parameter</w:t>
            </w:r>
          </w:p>
        </w:tc>
        <w:tc>
          <w:tcPr>
            <w:tcW w:w="2127" w:type="dxa"/>
          </w:tcPr>
          <w:p>
            <w:pPr>
              <w:pStyle w:val="10"/>
              <w:spacing w:before="35"/>
              <w:ind w:left="717" w:right="71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Ph.Eur</w:t>
            </w:r>
          </w:p>
        </w:tc>
        <w:tc>
          <w:tcPr>
            <w:tcW w:w="2182" w:type="dxa"/>
          </w:tcPr>
          <w:p>
            <w:pPr>
              <w:pStyle w:val="10"/>
              <w:spacing w:before="35"/>
              <w:ind w:left="715"/>
              <w:rPr>
                <w:b/>
                <w:sz w:val="21"/>
              </w:rPr>
            </w:pPr>
            <w:r>
              <w:rPr>
                <w:b/>
                <w:sz w:val="21"/>
              </w:rPr>
              <w:t>USP-NF</w:t>
            </w:r>
          </w:p>
        </w:tc>
        <w:tc>
          <w:tcPr>
            <w:tcW w:w="2092" w:type="dxa"/>
          </w:tcPr>
          <w:p>
            <w:pPr>
              <w:pStyle w:val="10"/>
              <w:spacing w:before="35"/>
              <w:ind w:left="688"/>
              <w:rPr>
                <w:b/>
                <w:sz w:val="21"/>
              </w:rPr>
            </w:pPr>
            <w:r>
              <w:rPr>
                <w:b/>
                <w:sz w:val="21"/>
              </w:rPr>
              <w:t>E341(ii)</w:t>
            </w:r>
          </w:p>
        </w:tc>
        <w:tc>
          <w:tcPr>
            <w:tcW w:w="1495" w:type="dxa"/>
          </w:tcPr>
          <w:p>
            <w:pPr>
              <w:pStyle w:val="10"/>
              <w:spacing w:before="35"/>
              <w:ind w:left="509" w:right="50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FCC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2195" w:type="dxa"/>
          </w:tcPr>
          <w:p>
            <w:pPr>
              <w:pStyle w:val="10"/>
              <w:spacing w:before="34"/>
              <w:rPr>
                <w:sz w:val="21"/>
              </w:rPr>
            </w:pPr>
            <w:r>
              <w:rPr>
                <w:sz w:val="21"/>
              </w:rPr>
              <w:t>Appearance</w:t>
            </w:r>
          </w:p>
        </w:tc>
        <w:tc>
          <w:tcPr>
            <w:tcW w:w="2127" w:type="dxa"/>
          </w:tcPr>
          <w:p>
            <w:pPr>
              <w:pStyle w:val="10"/>
              <w:spacing w:before="34" w:line="309" w:lineRule="auto"/>
              <w:ind w:left="106" w:right="118"/>
              <w:rPr>
                <w:sz w:val="21"/>
              </w:rPr>
            </w:pPr>
            <w:r>
              <w:rPr>
                <w:sz w:val="21"/>
              </w:rPr>
              <w:t>White or almost white crystalline powder or</w:t>
            </w:r>
          </w:p>
          <w:p>
            <w:pPr>
              <w:pStyle w:val="10"/>
              <w:spacing w:before="1"/>
              <w:ind w:left="106"/>
              <w:rPr>
                <w:sz w:val="21"/>
              </w:rPr>
            </w:pPr>
            <w:r>
              <w:rPr>
                <w:sz w:val="21"/>
              </w:rPr>
              <w:t>colourless crystals</w:t>
            </w:r>
          </w:p>
        </w:tc>
        <w:tc>
          <w:tcPr>
            <w:tcW w:w="2182" w:type="dxa"/>
          </w:tcPr>
          <w:p>
            <w:pPr>
              <w:pStyle w:val="10"/>
              <w:spacing w:before="34" w:line="309" w:lineRule="auto"/>
              <w:ind w:left="108"/>
              <w:rPr>
                <w:sz w:val="21"/>
              </w:rPr>
            </w:pPr>
            <w:r>
              <w:rPr>
                <w:sz w:val="21"/>
              </w:rPr>
              <w:t>White or almost white crystalline powder or</w:t>
            </w:r>
          </w:p>
          <w:p>
            <w:pPr>
              <w:pStyle w:val="10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colourless crystals</w:t>
            </w:r>
          </w:p>
        </w:tc>
        <w:tc>
          <w:tcPr>
            <w:tcW w:w="2092" w:type="dxa"/>
          </w:tcPr>
          <w:p>
            <w:pPr>
              <w:pStyle w:val="10"/>
              <w:spacing w:before="34" w:line="309" w:lineRule="auto"/>
              <w:rPr>
                <w:sz w:val="21"/>
              </w:rPr>
            </w:pPr>
            <w:r>
              <w:rPr>
                <w:sz w:val="21"/>
              </w:rPr>
              <w:t>White or almost white crystalline powder or</w:t>
            </w:r>
          </w:p>
          <w:p>
            <w:pPr>
              <w:pStyle w:val="10"/>
              <w:spacing w:before="1"/>
              <w:rPr>
                <w:sz w:val="21"/>
              </w:rPr>
            </w:pPr>
            <w:r>
              <w:rPr>
                <w:sz w:val="21"/>
              </w:rPr>
              <w:t>colourless crystals</w:t>
            </w:r>
          </w:p>
        </w:tc>
        <w:tc>
          <w:tcPr>
            <w:tcW w:w="1495" w:type="dxa"/>
          </w:tcPr>
          <w:p>
            <w:pPr>
              <w:pStyle w:val="10"/>
              <w:spacing w:before="34" w:line="309" w:lineRule="auto"/>
              <w:ind w:left="108" w:right="208"/>
              <w:rPr>
                <w:sz w:val="21"/>
              </w:rPr>
            </w:pPr>
            <w:r>
              <w:rPr>
                <w:sz w:val="21"/>
              </w:rPr>
              <w:t>Occurs as a white powder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95" w:type="dxa"/>
          </w:tcPr>
          <w:p>
            <w:pPr>
              <w:pStyle w:val="10"/>
              <w:spacing w:before="34"/>
              <w:rPr>
                <w:sz w:val="21"/>
              </w:rPr>
            </w:pPr>
            <w:r>
              <w:rPr>
                <w:sz w:val="21"/>
              </w:rPr>
              <w:t>Identification A</w:t>
            </w:r>
          </w:p>
        </w:tc>
        <w:tc>
          <w:tcPr>
            <w:tcW w:w="2127" w:type="dxa"/>
          </w:tcPr>
          <w:p>
            <w:pPr>
              <w:pStyle w:val="10"/>
              <w:spacing w:before="34"/>
              <w:ind w:left="106"/>
              <w:rPr>
                <w:sz w:val="21"/>
              </w:rPr>
            </w:pPr>
            <w:r>
              <w:rPr>
                <w:sz w:val="21"/>
              </w:rPr>
              <w:t>Passes test</w:t>
            </w:r>
          </w:p>
        </w:tc>
        <w:tc>
          <w:tcPr>
            <w:tcW w:w="2182" w:type="dxa"/>
          </w:tcPr>
          <w:p>
            <w:pPr>
              <w:pStyle w:val="10"/>
              <w:spacing w:before="34"/>
              <w:ind w:left="108"/>
              <w:rPr>
                <w:sz w:val="21"/>
              </w:rPr>
            </w:pPr>
            <w:r>
              <w:rPr>
                <w:sz w:val="21"/>
              </w:rPr>
              <w:t>Passes test</w:t>
            </w:r>
          </w:p>
        </w:tc>
        <w:tc>
          <w:tcPr>
            <w:tcW w:w="2092" w:type="dxa"/>
          </w:tcPr>
          <w:p>
            <w:pPr>
              <w:pStyle w:val="10"/>
              <w:spacing w:before="34"/>
              <w:rPr>
                <w:sz w:val="21"/>
              </w:rPr>
            </w:pPr>
            <w:r>
              <w:rPr>
                <w:sz w:val="21"/>
              </w:rPr>
              <w:t>Passes test</w:t>
            </w:r>
          </w:p>
        </w:tc>
        <w:tc>
          <w:tcPr>
            <w:tcW w:w="1495" w:type="dxa"/>
          </w:tcPr>
          <w:p>
            <w:pPr>
              <w:pStyle w:val="10"/>
              <w:spacing w:before="34"/>
              <w:ind w:left="108"/>
              <w:rPr>
                <w:sz w:val="21"/>
              </w:rPr>
            </w:pPr>
            <w:r>
              <w:rPr>
                <w:sz w:val="21"/>
              </w:rPr>
              <w:t>Passes test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195" w:type="dxa"/>
          </w:tcPr>
          <w:p>
            <w:pPr>
              <w:pStyle w:val="10"/>
              <w:spacing w:before="36"/>
              <w:rPr>
                <w:sz w:val="21"/>
              </w:rPr>
            </w:pPr>
            <w:r>
              <w:rPr>
                <w:sz w:val="21"/>
              </w:rPr>
              <w:t>Identification B</w:t>
            </w:r>
          </w:p>
        </w:tc>
        <w:tc>
          <w:tcPr>
            <w:tcW w:w="2127" w:type="dxa"/>
          </w:tcPr>
          <w:p>
            <w:pPr>
              <w:pStyle w:val="10"/>
              <w:spacing w:before="36"/>
              <w:ind w:left="106"/>
              <w:rPr>
                <w:sz w:val="21"/>
              </w:rPr>
            </w:pPr>
            <w:r>
              <w:rPr>
                <w:sz w:val="21"/>
              </w:rPr>
              <w:t>Passes test</w:t>
            </w:r>
          </w:p>
        </w:tc>
        <w:tc>
          <w:tcPr>
            <w:tcW w:w="2182" w:type="dxa"/>
          </w:tcPr>
          <w:p>
            <w:pPr>
              <w:pStyle w:val="10"/>
              <w:spacing w:before="36"/>
              <w:ind w:left="108"/>
              <w:rPr>
                <w:sz w:val="21"/>
              </w:rPr>
            </w:pPr>
            <w:r>
              <w:rPr>
                <w:sz w:val="21"/>
              </w:rPr>
              <w:t>Passes test</w:t>
            </w:r>
          </w:p>
        </w:tc>
        <w:tc>
          <w:tcPr>
            <w:tcW w:w="2092" w:type="dxa"/>
          </w:tcPr>
          <w:p>
            <w:pPr>
              <w:pStyle w:val="10"/>
              <w:spacing w:before="36"/>
              <w:rPr>
                <w:sz w:val="21"/>
              </w:rPr>
            </w:pPr>
            <w:r>
              <w:rPr>
                <w:sz w:val="21"/>
              </w:rPr>
              <w:t>Passes test</w:t>
            </w:r>
          </w:p>
        </w:tc>
        <w:tc>
          <w:tcPr>
            <w:tcW w:w="1495" w:type="dxa"/>
          </w:tcPr>
          <w:p>
            <w:pPr>
              <w:pStyle w:val="10"/>
              <w:spacing w:before="36"/>
              <w:ind w:left="108"/>
              <w:rPr>
                <w:sz w:val="21"/>
              </w:rPr>
            </w:pPr>
            <w:r>
              <w:rPr>
                <w:sz w:val="21"/>
              </w:rPr>
              <w:t>Passes test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195" w:type="dxa"/>
          </w:tcPr>
          <w:p>
            <w:pPr>
              <w:pStyle w:val="10"/>
              <w:spacing w:before="35"/>
              <w:rPr>
                <w:sz w:val="21"/>
              </w:rPr>
            </w:pPr>
            <w:r>
              <w:rPr>
                <w:sz w:val="21"/>
              </w:rPr>
              <w:t>Identification C</w:t>
            </w:r>
          </w:p>
        </w:tc>
        <w:tc>
          <w:tcPr>
            <w:tcW w:w="2127" w:type="dxa"/>
          </w:tcPr>
          <w:p>
            <w:pPr>
              <w:pStyle w:val="10"/>
              <w:spacing w:before="35"/>
              <w:ind w:left="106"/>
              <w:rPr>
                <w:sz w:val="21"/>
              </w:rPr>
            </w:pPr>
            <w:r>
              <w:rPr>
                <w:sz w:val="21"/>
              </w:rPr>
              <w:t>It complies with the</w:t>
            </w:r>
          </w:p>
          <w:p>
            <w:pPr>
              <w:pStyle w:val="10"/>
              <w:spacing w:before="71"/>
              <w:ind w:left="106"/>
              <w:rPr>
                <w:sz w:val="21"/>
              </w:rPr>
            </w:pPr>
            <w:r>
              <w:rPr>
                <w:sz w:val="21"/>
              </w:rPr>
              <w:t>limits of the assay</w:t>
            </w:r>
          </w:p>
        </w:tc>
        <w:tc>
          <w:tcPr>
            <w:tcW w:w="2182" w:type="dxa"/>
          </w:tcPr>
          <w:p>
            <w:pPr>
              <w:pStyle w:val="10"/>
              <w:ind w:left="0"/>
              <w:rPr>
                <w:sz w:val="20"/>
              </w:rPr>
            </w:pPr>
          </w:p>
        </w:tc>
        <w:tc>
          <w:tcPr>
            <w:tcW w:w="2092" w:type="dxa"/>
          </w:tcPr>
          <w:p>
            <w:pPr>
              <w:pStyle w:val="10"/>
              <w:ind w:left="0"/>
              <w:rPr>
                <w:sz w:val="20"/>
              </w:rPr>
            </w:pPr>
          </w:p>
        </w:tc>
        <w:tc>
          <w:tcPr>
            <w:tcW w:w="1495" w:type="dxa"/>
          </w:tcPr>
          <w:p>
            <w:pPr>
              <w:pStyle w:val="10"/>
              <w:ind w:left="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95" w:type="dxa"/>
          </w:tcPr>
          <w:p>
            <w:pPr>
              <w:pStyle w:val="10"/>
              <w:spacing w:before="18" w:line="274" w:lineRule="exact"/>
              <w:ind w:right="-15"/>
              <w:rPr>
                <w:rFonts w:hint="eastAsia" w:ascii="宋体" w:eastAsia="宋体"/>
                <w:sz w:val="21"/>
              </w:rPr>
            </w:pPr>
            <w:r>
              <w:rPr>
                <w:spacing w:val="-17"/>
                <w:position w:val="2"/>
                <w:sz w:val="21"/>
              </w:rPr>
              <w:t>Assay</w:t>
            </w:r>
            <w:r>
              <w:rPr>
                <w:rFonts w:hint="eastAsia" w:ascii="宋体" w:eastAsia="宋体"/>
                <w:position w:val="2"/>
                <w:sz w:val="21"/>
              </w:rPr>
              <w:t>【</w:t>
            </w:r>
            <w:r>
              <w:rPr>
                <w:position w:val="2"/>
                <w:sz w:val="21"/>
              </w:rPr>
              <w:t>Ca,</w:t>
            </w:r>
            <w:r>
              <w:rPr>
                <w:spacing w:val="-5"/>
                <w:position w:val="2"/>
                <w:sz w:val="21"/>
              </w:rPr>
              <w:t xml:space="preserve"> </w:t>
            </w:r>
            <w:r>
              <w:rPr>
                <w:position w:val="2"/>
                <w:sz w:val="21"/>
              </w:rPr>
              <w:t>asCaHPO</w:t>
            </w:r>
            <w:r>
              <w:rPr>
                <w:position w:val="2"/>
                <w:sz w:val="21"/>
                <w:vertAlign w:val="subscript"/>
              </w:rPr>
              <w:t>4</w:t>
            </w:r>
            <w:r>
              <w:rPr>
                <w:rFonts w:hint="eastAsia" w:ascii="宋体" w:eastAsia="宋体"/>
                <w:position w:val="2"/>
                <w:sz w:val="21"/>
                <w:vertAlign w:val="baseline"/>
              </w:rPr>
              <w:t>】</w:t>
            </w:r>
          </w:p>
        </w:tc>
        <w:tc>
          <w:tcPr>
            <w:tcW w:w="2127" w:type="dxa"/>
          </w:tcPr>
          <w:p>
            <w:pPr>
              <w:pStyle w:val="10"/>
              <w:spacing w:before="35"/>
              <w:ind w:left="106"/>
              <w:rPr>
                <w:sz w:val="21"/>
              </w:rPr>
            </w:pPr>
            <w:r>
              <w:rPr>
                <w:sz w:val="21"/>
              </w:rPr>
              <w:t>97.5%~102.5%</w:t>
            </w:r>
          </w:p>
        </w:tc>
        <w:tc>
          <w:tcPr>
            <w:tcW w:w="2182" w:type="dxa"/>
          </w:tcPr>
          <w:p>
            <w:pPr>
              <w:pStyle w:val="10"/>
              <w:spacing w:before="35"/>
              <w:ind w:left="108"/>
              <w:rPr>
                <w:sz w:val="21"/>
              </w:rPr>
            </w:pPr>
            <w:r>
              <w:rPr>
                <w:sz w:val="21"/>
              </w:rPr>
              <w:t>98.0%~103.0%</w:t>
            </w:r>
          </w:p>
        </w:tc>
        <w:tc>
          <w:tcPr>
            <w:tcW w:w="2092" w:type="dxa"/>
          </w:tcPr>
          <w:p>
            <w:pPr>
              <w:pStyle w:val="10"/>
              <w:spacing w:before="35"/>
              <w:rPr>
                <w:sz w:val="21"/>
              </w:rPr>
            </w:pPr>
            <w:r>
              <w:rPr>
                <w:sz w:val="21"/>
              </w:rPr>
              <w:t>98.0%-102.0%</w:t>
            </w:r>
          </w:p>
        </w:tc>
        <w:tc>
          <w:tcPr>
            <w:tcW w:w="1495" w:type="dxa"/>
          </w:tcPr>
          <w:p>
            <w:pPr>
              <w:pStyle w:val="10"/>
              <w:spacing w:before="35"/>
              <w:ind w:left="108"/>
              <w:rPr>
                <w:sz w:val="21"/>
              </w:rPr>
            </w:pPr>
            <w:r>
              <w:rPr>
                <w:sz w:val="21"/>
              </w:rPr>
              <w:t>97.0%-105.0%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95" w:type="dxa"/>
          </w:tcPr>
          <w:p>
            <w:pPr>
              <w:pStyle w:val="10"/>
              <w:spacing w:before="35"/>
              <w:rPr>
                <w:sz w:val="21"/>
              </w:rPr>
            </w:pPr>
            <w:r>
              <w:rPr>
                <w:sz w:val="21"/>
              </w:rPr>
              <w:t>P2O5</w:t>
            </w:r>
          </w:p>
        </w:tc>
        <w:tc>
          <w:tcPr>
            <w:tcW w:w="2127" w:type="dxa"/>
          </w:tcPr>
          <w:p>
            <w:pPr>
              <w:pStyle w:val="10"/>
              <w:ind w:left="0"/>
              <w:rPr>
                <w:sz w:val="20"/>
              </w:rPr>
            </w:pPr>
          </w:p>
        </w:tc>
        <w:tc>
          <w:tcPr>
            <w:tcW w:w="2182" w:type="dxa"/>
          </w:tcPr>
          <w:p>
            <w:pPr>
              <w:pStyle w:val="10"/>
              <w:ind w:left="0"/>
              <w:rPr>
                <w:sz w:val="20"/>
              </w:rPr>
            </w:pPr>
          </w:p>
        </w:tc>
        <w:tc>
          <w:tcPr>
            <w:tcW w:w="2092" w:type="dxa"/>
          </w:tcPr>
          <w:p>
            <w:pPr>
              <w:pStyle w:val="10"/>
              <w:spacing w:before="35"/>
              <w:rPr>
                <w:sz w:val="21"/>
              </w:rPr>
            </w:pPr>
            <w:r>
              <w:rPr>
                <w:sz w:val="21"/>
              </w:rPr>
              <w:t>50.0-52.5%</w:t>
            </w:r>
          </w:p>
        </w:tc>
        <w:tc>
          <w:tcPr>
            <w:tcW w:w="1495" w:type="dxa"/>
          </w:tcPr>
          <w:p>
            <w:pPr>
              <w:pStyle w:val="10"/>
              <w:ind w:left="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195" w:type="dxa"/>
          </w:tcPr>
          <w:p>
            <w:pPr>
              <w:pStyle w:val="10"/>
              <w:spacing w:before="34"/>
              <w:rPr>
                <w:sz w:val="21"/>
              </w:rPr>
            </w:pPr>
            <w:r>
              <w:rPr>
                <w:sz w:val="21"/>
              </w:rPr>
              <w:t>Loss on ignition</w:t>
            </w:r>
          </w:p>
        </w:tc>
        <w:tc>
          <w:tcPr>
            <w:tcW w:w="2127" w:type="dxa"/>
          </w:tcPr>
          <w:p>
            <w:pPr>
              <w:pStyle w:val="10"/>
              <w:spacing w:before="34"/>
              <w:ind w:left="106"/>
              <w:rPr>
                <w:sz w:val="21"/>
              </w:rPr>
            </w:pPr>
            <w:r>
              <w:rPr>
                <w:sz w:val="21"/>
              </w:rPr>
              <w:t>6.6%-8.7%</w:t>
            </w:r>
          </w:p>
        </w:tc>
        <w:tc>
          <w:tcPr>
            <w:tcW w:w="2182" w:type="dxa"/>
          </w:tcPr>
          <w:p>
            <w:pPr>
              <w:pStyle w:val="10"/>
              <w:spacing w:before="34"/>
              <w:ind w:left="108"/>
              <w:rPr>
                <w:sz w:val="21"/>
              </w:rPr>
            </w:pPr>
            <w:r>
              <w:rPr>
                <w:sz w:val="21"/>
              </w:rPr>
              <w:t>6.6%~8.5%</w:t>
            </w:r>
          </w:p>
        </w:tc>
        <w:tc>
          <w:tcPr>
            <w:tcW w:w="2092" w:type="dxa"/>
          </w:tcPr>
          <w:p>
            <w:pPr>
              <w:pStyle w:val="10"/>
              <w:spacing w:before="34"/>
              <w:rPr>
                <w:sz w:val="21"/>
              </w:rPr>
            </w:pPr>
            <w:r>
              <w:rPr>
                <w:sz w:val="21"/>
              </w:rPr>
              <w:t>≤8.5%</w:t>
            </w:r>
          </w:p>
        </w:tc>
        <w:tc>
          <w:tcPr>
            <w:tcW w:w="1495" w:type="dxa"/>
          </w:tcPr>
          <w:p>
            <w:pPr>
              <w:pStyle w:val="10"/>
              <w:spacing w:before="34"/>
              <w:ind w:left="108"/>
              <w:rPr>
                <w:sz w:val="21"/>
              </w:rPr>
            </w:pPr>
            <w:r>
              <w:rPr>
                <w:sz w:val="21"/>
              </w:rPr>
              <w:t>7.0%-8.5%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95" w:type="dxa"/>
          </w:tcPr>
          <w:p>
            <w:pPr>
              <w:pStyle w:val="10"/>
              <w:spacing w:before="34"/>
              <w:rPr>
                <w:sz w:val="21"/>
              </w:rPr>
            </w:pPr>
            <w:r>
              <w:rPr>
                <w:sz w:val="21"/>
              </w:rPr>
              <w:t>Heavy metal(as Pb)</w:t>
            </w:r>
          </w:p>
        </w:tc>
        <w:tc>
          <w:tcPr>
            <w:tcW w:w="2127" w:type="dxa"/>
          </w:tcPr>
          <w:p>
            <w:pPr>
              <w:pStyle w:val="10"/>
              <w:ind w:left="0"/>
              <w:rPr>
                <w:sz w:val="20"/>
              </w:rPr>
            </w:pPr>
          </w:p>
        </w:tc>
        <w:tc>
          <w:tcPr>
            <w:tcW w:w="2182" w:type="dxa"/>
          </w:tcPr>
          <w:p>
            <w:pPr>
              <w:pStyle w:val="10"/>
              <w:spacing w:before="34"/>
              <w:ind w:left="108"/>
              <w:rPr>
                <w:sz w:val="21"/>
              </w:rPr>
            </w:pPr>
            <w:r>
              <w:rPr>
                <w:sz w:val="21"/>
              </w:rPr>
              <w:t>≤0.003%</w:t>
            </w:r>
          </w:p>
        </w:tc>
        <w:tc>
          <w:tcPr>
            <w:tcW w:w="2092" w:type="dxa"/>
          </w:tcPr>
          <w:p>
            <w:pPr>
              <w:pStyle w:val="10"/>
              <w:ind w:left="0"/>
              <w:rPr>
                <w:sz w:val="20"/>
              </w:rPr>
            </w:pPr>
          </w:p>
        </w:tc>
        <w:tc>
          <w:tcPr>
            <w:tcW w:w="1495" w:type="dxa"/>
          </w:tcPr>
          <w:p>
            <w:pPr>
              <w:pStyle w:val="10"/>
              <w:ind w:left="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195" w:type="dxa"/>
          </w:tcPr>
          <w:p>
            <w:pPr>
              <w:pStyle w:val="10"/>
              <w:spacing w:before="36"/>
              <w:rPr>
                <w:sz w:val="21"/>
              </w:rPr>
            </w:pPr>
            <w:r>
              <w:rPr>
                <w:sz w:val="21"/>
              </w:rPr>
              <w:t>Mercury</w:t>
            </w:r>
          </w:p>
        </w:tc>
        <w:tc>
          <w:tcPr>
            <w:tcW w:w="2127" w:type="dxa"/>
          </w:tcPr>
          <w:p>
            <w:pPr>
              <w:pStyle w:val="10"/>
              <w:ind w:left="0"/>
              <w:rPr>
                <w:sz w:val="20"/>
              </w:rPr>
            </w:pPr>
          </w:p>
        </w:tc>
        <w:tc>
          <w:tcPr>
            <w:tcW w:w="2182" w:type="dxa"/>
          </w:tcPr>
          <w:p>
            <w:pPr>
              <w:pStyle w:val="10"/>
              <w:ind w:left="0"/>
              <w:rPr>
                <w:sz w:val="20"/>
              </w:rPr>
            </w:pPr>
          </w:p>
        </w:tc>
        <w:tc>
          <w:tcPr>
            <w:tcW w:w="2092" w:type="dxa"/>
          </w:tcPr>
          <w:p>
            <w:pPr>
              <w:pStyle w:val="10"/>
              <w:spacing w:before="36"/>
              <w:rPr>
                <w:sz w:val="21"/>
              </w:rPr>
            </w:pPr>
            <w:r>
              <w:rPr>
                <w:sz w:val="21"/>
              </w:rPr>
              <w:t>≤1.0ppm</w:t>
            </w:r>
          </w:p>
        </w:tc>
        <w:tc>
          <w:tcPr>
            <w:tcW w:w="1495" w:type="dxa"/>
          </w:tcPr>
          <w:p>
            <w:pPr>
              <w:pStyle w:val="10"/>
              <w:ind w:left="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95" w:type="dxa"/>
          </w:tcPr>
          <w:p>
            <w:pPr>
              <w:pStyle w:val="10"/>
              <w:spacing w:before="35"/>
              <w:rPr>
                <w:sz w:val="21"/>
              </w:rPr>
            </w:pPr>
            <w:r>
              <w:rPr>
                <w:sz w:val="21"/>
              </w:rPr>
              <w:t>Arsenic</w:t>
            </w:r>
          </w:p>
        </w:tc>
        <w:tc>
          <w:tcPr>
            <w:tcW w:w="2127" w:type="dxa"/>
          </w:tcPr>
          <w:p>
            <w:pPr>
              <w:pStyle w:val="10"/>
              <w:spacing w:before="35"/>
              <w:ind w:left="106"/>
              <w:rPr>
                <w:sz w:val="21"/>
              </w:rPr>
            </w:pPr>
            <w:r>
              <w:rPr>
                <w:sz w:val="21"/>
              </w:rPr>
              <w:t>≤10.0ppm</w:t>
            </w:r>
          </w:p>
        </w:tc>
        <w:tc>
          <w:tcPr>
            <w:tcW w:w="2182" w:type="dxa"/>
          </w:tcPr>
          <w:p>
            <w:pPr>
              <w:pStyle w:val="10"/>
              <w:spacing w:before="35"/>
              <w:ind w:left="108"/>
              <w:rPr>
                <w:sz w:val="21"/>
              </w:rPr>
            </w:pPr>
            <w:r>
              <w:rPr>
                <w:sz w:val="21"/>
              </w:rPr>
              <w:t>≤3.0ppm</w:t>
            </w:r>
          </w:p>
        </w:tc>
        <w:tc>
          <w:tcPr>
            <w:tcW w:w="2092" w:type="dxa"/>
          </w:tcPr>
          <w:p>
            <w:pPr>
              <w:pStyle w:val="10"/>
              <w:spacing w:before="35"/>
              <w:rPr>
                <w:sz w:val="21"/>
              </w:rPr>
            </w:pPr>
            <w:r>
              <w:rPr>
                <w:sz w:val="21"/>
              </w:rPr>
              <w:t>≤1.0ppm</w:t>
            </w:r>
          </w:p>
        </w:tc>
        <w:tc>
          <w:tcPr>
            <w:tcW w:w="1495" w:type="dxa"/>
          </w:tcPr>
          <w:p>
            <w:pPr>
              <w:pStyle w:val="10"/>
              <w:spacing w:before="35"/>
              <w:ind w:left="108"/>
              <w:rPr>
                <w:sz w:val="21"/>
              </w:rPr>
            </w:pPr>
            <w:r>
              <w:rPr>
                <w:sz w:val="21"/>
              </w:rPr>
              <w:t>≤3.0ppm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195" w:type="dxa"/>
          </w:tcPr>
          <w:p>
            <w:pPr>
              <w:pStyle w:val="10"/>
              <w:spacing w:before="35"/>
              <w:rPr>
                <w:sz w:val="21"/>
              </w:rPr>
            </w:pPr>
            <w:r>
              <w:rPr>
                <w:sz w:val="21"/>
              </w:rPr>
              <w:t>Lead</w:t>
            </w:r>
          </w:p>
        </w:tc>
        <w:tc>
          <w:tcPr>
            <w:tcW w:w="2127" w:type="dxa"/>
          </w:tcPr>
          <w:p>
            <w:pPr>
              <w:pStyle w:val="10"/>
              <w:ind w:left="0"/>
              <w:rPr>
                <w:sz w:val="20"/>
              </w:rPr>
            </w:pPr>
          </w:p>
        </w:tc>
        <w:tc>
          <w:tcPr>
            <w:tcW w:w="2182" w:type="dxa"/>
          </w:tcPr>
          <w:p>
            <w:pPr>
              <w:pStyle w:val="10"/>
              <w:ind w:left="0"/>
              <w:rPr>
                <w:sz w:val="20"/>
              </w:rPr>
            </w:pPr>
          </w:p>
        </w:tc>
        <w:tc>
          <w:tcPr>
            <w:tcW w:w="2092" w:type="dxa"/>
          </w:tcPr>
          <w:p>
            <w:pPr>
              <w:pStyle w:val="10"/>
              <w:spacing w:before="35"/>
              <w:rPr>
                <w:sz w:val="21"/>
              </w:rPr>
            </w:pPr>
            <w:r>
              <w:rPr>
                <w:sz w:val="21"/>
              </w:rPr>
              <w:t>≤1.0ppm</w:t>
            </w:r>
          </w:p>
        </w:tc>
        <w:tc>
          <w:tcPr>
            <w:tcW w:w="1495" w:type="dxa"/>
          </w:tcPr>
          <w:p>
            <w:pPr>
              <w:pStyle w:val="10"/>
              <w:spacing w:before="35"/>
              <w:ind w:left="108"/>
              <w:rPr>
                <w:sz w:val="21"/>
              </w:rPr>
            </w:pPr>
            <w:r>
              <w:rPr>
                <w:sz w:val="21"/>
              </w:rPr>
              <w:t>≤2.0ppm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95" w:type="dxa"/>
          </w:tcPr>
          <w:p>
            <w:pPr>
              <w:pStyle w:val="10"/>
              <w:spacing w:before="35"/>
              <w:rPr>
                <w:sz w:val="21"/>
              </w:rPr>
            </w:pPr>
            <w:r>
              <w:rPr>
                <w:sz w:val="21"/>
              </w:rPr>
              <w:t>Cadmium</w:t>
            </w:r>
          </w:p>
        </w:tc>
        <w:tc>
          <w:tcPr>
            <w:tcW w:w="2127" w:type="dxa"/>
          </w:tcPr>
          <w:p>
            <w:pPr>
              <w:pStyle w:val="10"/>
              <w:ind w:left="0"/>
              <w:rPr>
                <w:sz w:val="20"/>
              </w:rPr>
            </w:pPr>
          </w:p>
        </w:tc>
        <w:tc>
          <w:tcPr>
            <w:tcW w:w="2182" w:type="dxa"/>
          </w:tcPr>
          <w:p>
            <w:pPr>
              <w:pStyle w:val="10"/>
              <w:ind w:left="0"/>
              <w:rPr>
                <w:sz w:val="20"/>
              </w:rPr>
            </w:pPr>
          </w:p>
        </w:tc>
        <w:tc>
          <w:tcPr>
            <w:tcW w:w="2092" w:type="dxa"/>
          </w:tcPr>
          <w:p>
            <w:pPr>
              <w:pStyle w:val="10"/>
              <w:spacing w:before="35"/>
              <w:rPr>
                <w:sz w:val="21"/>
              </w:rPr>
            </w:pPr>
            <w:r>
              <w:rPr>
                <w:sz w:val="21"/>
              </w:rPr>
              <w:t>≤1.0ppm</w:t>
            </w:r>
          </w:p>
        </w:tc>
        <w:tc>
          <w:tcPr>
            <w:tcW w:w="1495" w:type="dxa"/>
          </w:tcPr>
          <w:p>
            <w:pPr>
              <w:pStyle w:val="10"/>
              <w:ind w:left="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95" w:type="dxa"/>
          </w:tcPr>
          <w:p>
            <w:pPr>
              <w:pStyle w:val="10"/>
              <w:spacing w:before="34"/>
              <w:rPr>
                <w:sz w:val="21"/>
              </w:rPr>
            </w:pPr>
            <w:r>
              <w:rPr>
                <w:sz w:val="21"/>
              </w:rPr>
              <w:t>Aluminium</w:t>
            </w:r>
          </w:p>
        </w:tc>
        <w:tc>
          <w:tcPr>
            <w:tcW w:w="2127" w:type="dxa"/>
          </w:tcPr>
          <w:p>
            <w:pPr>
              <w:pStyle w:val="10"/>
              <w:ind w:left="0"/>
              <w:rPr>
                <w:sz w:val="20"/>
              </w:rPr>
            </w:pPr>
          </w:p>
        </w:tc>
        <w:tc>
          <w:tcPr>
            <w:tcW w:w="2182" w:type="dxa"/>
          </w:tcPr>
          <w:p>
            <w:pPr>
              <w:pStyle w:val="10"/>
              <w:ind w:left="0"/>
              <w:rPr>
                <w:sz w:val="20"/>
              </w:rPr>
            </w:pPr>
          </w:p>
        </w:tc>
        <w:tc>
          <w:tcPr>
            <w:tcW w:w="2092" w:type="dxa"/>
          </w:tcPr>
          <w:p>
            <w:pPr>
              <w:pStyle w:val="10"/>
              <w:spacing w:before="34"/>
              <w:rPr>
                <w:sz w:val="21"/>
              </w:rPr>
            </w:pPr>
            <w:r>
              <w:rPr>
                <w:sz w:val="21"/>
              </w:rPr>
              <w:t>≤100.0ppm</w:t>
            </w:r>
          </w:p>
        </w:tc>
        <w:tc>
          <w:tcPr>
            <w:tcW w:w="1495" w:type="dxa"/>
          </w:tcPr>
          <w:p>
            <w:pPr>
              <w:pStyle w:val="10"/>
              <w:ind w:left="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195" w:type="dxa"/>
          </w:tcPr>
          <w:p>
            <w:pPr>
              <w:pStyle w:val="10"/>
              <w:spacing w:before="34"/>
              <w:rPr>
                <w:sz w:val="21"/>
              </w:rPr>
            </w:pPr>
            <w:r>
              <w:rPr>
                <w:sz w:val="21"/>
              </w:rPr>
              <w:t>Chloride</w:t>
            </w:r>
          </w:p>
        </w:tc>
        <w:tc>
          <w:tcPr>
            <w:tcW w:w="2127" w:type="dxa"/>
          </w:tcPr>
          <w:p>
            <w:pPr>
              <w:pStyle w:val="10"/>
              <w:spacing w:before="34"/>
              <w:ind w:left="106"/>
              <w:rPr>
                <w:sz w:val="21"/>
              </w:rPr>
            </w:pPr>
            <w:r>
              <w:rPr>
                <w:sz w:val="21"/>
              </w:rPr>
              <w:t>≤0.25%</w:t>
            </w:r>
          </w:p>
        </w:tc>
        <w:tc>
          <w:tcPr>
            <w:tcW w:w="2182" w:type="dxa"/>
          </w:tcPr>
          <w:p>
            <w:pPr>
              <w:pStyle w:val="10"/>
              <w:spacing w:before="34"/>
              <w:ind w:left="108"/>
              <w:rPr>
                <w:sz w:val="21"/>
              </w:rPr>
            </w:pPr>
            <w:r>
              <w:rPr>
                <w:sz w:val="21"/>
              </w:rPr>
              <w:t>≤0.25%</w:t>
            </w:r>
          </w:p>
        </w:tc>
        <w:tc>
          <w:tcPr>
            <w:tcW w:w="2092" w:type="dxa"/>
          </w:tcPr>
          <w:p>
            <w:pPr>
              <w:pStyle w:val="10"/>
              <w:ind w:left="0"/>
              <w:rPr>
                <w:sz w:val="20"/>
              </w:rPr>
            </w:pPr>
          </w:p>
        </w:tc>
        <w:tc>
          <w:tcPr>
            <w:tcW w:w="1495" w:type="dxa"/>
          </w:tcPr>
          <w:p>
            <w:pPr>
              <w:pStyle w:val="10"/>
              <w:ind w:left="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95" w:type="dxa"/>
          </w:tcPr>
          <w:p>
            <w:pPr>
              <w:pStyle w:val="10"/>
              <w:spacing w:before="36"/>
              <w:rPr>
                <w:sz w:val="21"/>
              </w:rPr>
            </w:pPr>
            <w:r>
              <w:rPr>
                <w:sz w:val="21"/>
              </w:rPr>
              <w:t>Sulfate</w:t>
            </w:r>
          </w:p>
        </w:tc>
        <w:tc>
          <w:tcPr>
            <w:tcW w:w="2127" w:type="dxa"/>
          </w:tcPr>
          <w:p>
            <w:pPr>
              <w:pStyle w:val="10"/>
              <w:spacing w:before="36"/>
              <w:ind w:left="106"/>
              <w:rPr>
                <w:sz w:val="21"/>
              </w:rPr>
            </w:pPr>
            <w:r>
              <w:rPr>
                <w:sz w:val="21"/>
              </w:rPr>
              <w:t>≤0.5%</w:t>
            </w:r>
          </w:p>
        </w:tc>
        <w:tc>
          <w:tcPr>
            <w:tcW w:w="2182" w:type="dxa"/>
          </w:tcPr>
          <w:p>
            <w:pPr>
              <w:pStyle w:val="10"/>
              <w:spacing w:before="36"/>
              <w:ind w:left="108"/>
              <w:rPr>
                <w:sz w:val="21"/>
              </w:rPr>
            </w:pPr>
            <w:r>
              <w:rPr>
                <w:sz w:val="21"/>
              </w:rPr>
              <w:t>≤0.5%</w:t>
            </w:r>
          </w:p>
        </w:tc>
        <w:tc>
          <w:tcPr>
            <w:tcW w:w="2092" w:type="dxa"/>
          </w:tcPr>
          <w:p>
            <w:pPr>
              <w:pStyle w:val="10"/>
              <w:ind w:left="0"/>
              <w:rPr>
                <w:sz w:val="20"/>
              </w:rPr>
            </w:pPr>
          </w:p>
        </w:tc>
        <w:tc>
          <w:tcPr>
            <w:tcW w:w="1495" w:type="dxa"/>
          </w:tcPr>
          <w:p>
            <w:pPr>
              <w:pStyle w:val="10"/>
              <w:ind w:left="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195" w:type="dxa"/>
          </w:tcPr>
          <w:p>
            <w:pPr>
              <w:pStyle w:val="10"/>
              <w:spacing w:before="35"/>
              <w:rPr>
                <w:sz w:val="21"/>
              </w:rPr>
            </w:pPr>
            <w:r>
              <w:rPr>
                <w:sz w:val="21"/>
              </w:rPr>
              <w:t>Acid-insoluble</w:t>
            </w:r>
          </w:p>
          <w:p>
            <w:pPr>
              <w:pStyle w:val="10"/>
              <w:spacing w:before="71"/>
              <w:rPr>
                <w:sz w:val="21"/>
              </w:rPr>
            </w:pPr>
            <w:r>
              <w:rPr>
                <w:sz w:val="21"/>
              </w:rPr>
              <w:t>substances</w:t>
            </w:r>
          </w:p>
        </w:tc>
        <w:tc>
          <w:tcPr>
            <w:tcW w:w="2127" w:type="dxa"/>
          </w:tcPr>
          <w:p>
            <w:pPr>
              <w:pStyle w:val="10"/>
              <w:spacing w:before="35"/>
              <w:ind w:left="106"/>
              <w:rPr>
                <w:sz w:val="21"/>
              </w:rPr>
            </w:pPr>
            <w:r>
              <w:rPr>
                <w:sz w:val="21"/>
              </w:rPr>
              <w:t>≤0.2%</w:t>
            </w:r>
          </w:p>
        </w:tc>
        <w:tc>
          <w:tcPr>
            <w:tcW w:w="2182" w:type="dxa"/>
          </w:tcPr>
          <w:p>
            <w:pPr>
              <w:pStyle w:val="10"/>
              <w:spacing w:before="35"/>
              <w:ind w:left="108"/>
              <w:rPr>
                <w:sz w:val="21"/>
              </w:rPr>
            </w:pPr>
            <w:r>
              <w:rPr>
                <w:sz w:val="21"/>
              </w:rPr>
              <w:t>≤0.2%</w:t>
            </w:r>
          </w:p>
        </w:tc>
        <w:tc>
          <w:tcPr>
            <w:tcW w:w="2092" w:type="dxa"/>
          </w:tcPr>
          <w:p>
            <w:pPr>
              <w:pStyle w:val="10"/>
              <w:ind w:left="0"/>
              <w:rPr>
                <w:sz w:val="20"/>
              </w:rPr>
            </w:pPr>
          </w:p>
        </w:tc>
        <w:tc>
          <w:tcPr>
            <w:tcW w:w="1495" w:type="dxa"/>
          </w:tcPr>
          <w:p>
            <w:pPr>
              <w:pStyle w:val="10"/>
              <w:ind w:left="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95" w:type="dxa"/>
          </w:tcPr>
          <w:p>
            <w:pPr>
              <w:pStyle w:val="10"/>
              <w:spacing w:before="35"/>
              <w:rPr>
                <w:sz w:val="21"/>
              </w:rPr>
            </w:pPr>
            <w:r>
              <w:rPr>
                <w:sz w:val="21"/>
              </w:rPr>
              <w:t>Carbonate</w:t>
            </w:r>
          </w:p>
        </w:tc>
        <w:tc>
          <w:tcPr>
            <w:tcW w:w="2127" w:type="dxa"/>
          </w:tcPr>
          <w:p>
            <w:pPr>
              <w:pStyle w:val="10"/>
              <w:spacing w:before="35"/>
              <w:ind w:left="106"/>
              <w:rPr>
                <w:sz w:val="21"/>
              </w:rPr>
            </w:pPr>
            <w:r>
              <w:rPr>
                <w:sz w:val="21"/>
              </w:rPr>
              <w:t>To pass the test</w:t>
            </w:r>
          </w:p>
        </w:tc>
        <w:tc>
          <w:tcPr>
            <w:tcW w:w="2182" w:type="dxa"/>
          </w:tcPr>
          <w:p>
            <w:pPr>
              <w:pStyle w:val="10"/>
              <w:spacing w:before="35"/>
              <w:ind w:left="108"/>
              <w:rPr>
                <w:sz w:val="21"/>
              </w:rPr>
            </w:pPr>
            <w:r>
              <w:rPr>
                <w:sz w:val="21"/>
              </w:rPr>
              <w:t>To pass the test</w:t>
            </w:r>
          </w:p>
        </w:tc>
        <w:tc>
          <w:tcPr>
            <w:tcW w:w="2092" w:type="dxa"/>
          </w:tcPr>
          <w:p>
            <w:pPr>
              <w:pStyle w:val="10"/>
              <w:ind w:left="0"/>
              <w:rPr>
                <w:sz w:val="20"/>
              </w:rPr>
            </w:pPr>
          </w:p>
        </w:tc>
        <w:tc>
          <w:tcPr>
            <w:tcW w:w="1495" w:type="dxa"/>
          </w:tcPr>
          <w:p>
            <w:pPr>
              <w:pStyle w:val="10"/>
              <w:ind w:left="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195" w:type="dxa"/>
          </w:tcPr>
          <w:p>
            <w:pPr>
              <w:pStyle w:val="10"/>
              <w:spacing w:before="35"/>
              <w:rPr>
                <w:sz w:val="21"/>
              </w:rPr>
            </w:pPr>
            <w:r>
              <w:rPr>
                <w:sz w:val="21"/>
              </w:rPr>
              <w:t>Barium</w:t>
            </w:r>
          </w:p>
        </w:tc>
        <w:tc>
          <w:tcPr>
            <w:tcW w:w="2127" w:type="dxa"/>
          </w:tcPr>
          <w:p>
            <w:pPr>
              <w:pStyle w:val="10"/>
              <w:spacing w:before="35"/>
              <w:ind w:left="106"/>
              <w:rPr>
                <w:sz w:val="21"/>
              </w:rPr>
            </w:pPr>
            <w:r>
              <w:rPr>
                <w:sz w:val="21"/>
              </w:rPr>
              <w:t>To pass the test</w:t>
            </w:r>
          </w:p>
        </w:tc>
        <w:tc>
          <w:tcPr>
            <w:tcW w:w="2182" w:type="dxa"/>
          </w:tcPr>
          <w:p>
            <w:pPr>
              <w:pStyle w:val="10"/>
              <w:spacing w:before="35"/>
              <w:ind w:left="108"/>
              <w:rPr>
                <w:sz w:val="21"/>
              </w:rPr>
            </w:pPr>
            <w:r>
              <w:rPr>
                <w:sz w:val="21"/>
              </w:rPr>
              <w:t>To pass the test</w:t>
            </w:r>
          </w:p>
        </w:tc>
        <w:tc>
          <w:tcPr>
            <w:tcW w:w="2092" w:type="dxa"/>
          </w:tcPr>
          <w:p>
            <w:pPr>
              <w:pStyle w:val="10"/>
              <w:ind w:left="0"/>
              <w:rPr>
                <w:sz w:val="20"/>
              </w:rPr>
            </w:pPr>
          </w:p>
        </w:tc>
        <w:tc>
          <w:tcPr>
            <w:tcW w:w="1495" w:type="dxa"/>
          </w:tcPr>
          <w:p>
            <w:pPr>
              <w:pStyle w:val="10"/>
              <w:ind w:left="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95" w:type="dxa"/>
          </w:tcPr>
          <w:p>
            <w:pPr>
              <w:pStyle w:val="10"/>
              <w:spacing w:before="34"/>
              <w:rPr>
                <w:sz w:val="21"/>
              </w:rPr>
            </w:pPr>
            <w:r>
              <w:rPr>
                <w:sz w:val="21"/>
              </w:rPr>
              <w:t>Limit of fluoride</w:t>
            </w:r>
          </w:p>
        </w:tc>
        <w:tc>
          <w:tcPr>
            <w:tcW w:w="2127" w:type="dxa"/>
          </w:tcPr>
          <w:p>
            <w:pPr>
              <w:pStyle w:val="10"/>
              <w:spacing w:before="34"/>
              <w:ind w:left="106"/>
              <w:rPr>
                <w:sz w:val="21"/>
              </w:rPr>
            </w:pPr>
            <w:r>
              <w:rPr>
                <w:sz w:val="21"/>
              </w:rPr>
              <w:t>≤100.0ppm</w:t>
            </w:r>
          </w:p>
        </w:tc>
        <w:tc>
          <w:tcPr>
            <w:tcW w:w="2182" w:type="dxa"/>
          </w:tcPr>
          <w:p>
            <w:pPr>
              <w:pStyle w:val="10"/>
              <w:spacing w:before="34"/>
              <w:ind w:left="108"/>
              <w:rPr>
                <w:sz w:val="21"/>
              </w:rPr>
            </w:pPr>
            <w:r>
              <w:rPr>
                <w:sz w:val="21"/>
              </w:rPr>
              <w:t>≤50.0ppm</w:t>
            </w:r>
          </w:p>
        </w:tc>
        <w:tc>
          <w:tcPr>
            <w:tcW w:w="2092" w:type="dxa"/>
          </w:tcPr>
          <w:p>
            <w:pPr>
              <w:pStyle w:val="10"/>
              <w:spacing w:before="34"/>
              <w:rPr>
                <w:sz w:val="21"/>
              </w:rPr>
            </w:pPr>
            <w:r>
              <w:rPr>
                <w:sz w:val="21"/>
              </w:rPr>
              <w:t>≤50.0ppm</w:t>
            </w:r>
          </w:p>
        </w:tc>
        <w:tc>
          <w:tcPr>
            <w:tcW w:w="1495" w:type="dxa"/>
          </w:tcPr>
          <w:p>
            <w:pPr>
              <w:pStyle w:val="10"/>
              <w:spacing w:before="34"/>
              <w:ind w:left="108"/>
              <w:rPr>
                <w:sz w:val="21"/>
              </w:rPr>
            </w:pPr>
            <w:r>
              <w:rPr>
                <w:sz w:val="21"/>
              </w:rPr>
              <w:t>≤50.0ppm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195" w:type="dxa"/>
          </w:tcPr>
          <w:p>
            <w:pPr>
              <w:pStyle w:val="10"/>
              <w:spacing w:before="34"/>
              <w:rPr>
                <w:sz w:val="21"/>
              </w:rPr>
            </w:pPr>
            <w:r>
              <w:rPr>
                <w:sz w:val="21"/>
              </w:rPr>
              <w:t>Iron</w:t>
            </w:r>
          </w:p>
        </w:tc>
        <w:tc>
          <w:tcPr>
            <w:tcW w:w="2127" w:type="dxa"/>
          </w:tcPr>
          <w:p>
            <w:pPr>
              <w:pStyle w:val="10"/>
              <w:spacing w:before="34"/>
              <w:ind w:left="106"/>
              <w:rPr>
                <w:sz w:val="21"/>
              </w:rPr>
            </w:pPr>
            <w:r>
              <w:rPr>
                <w:sz w:val="21"/>
              </w:rPr>
              <w:t>≤400.0ppm</w:t>
            </w:r>
          </w:p>
        </w:tc>
        <w:tc>
          <w:tcPr>
            <w:tcW w:w="2182" w:type="dxa"/>
          </w:tcPr>
          <w:p>
            <w:pPr>
              <w:pStyle w:val="10"/>
              <w:ind w:left="0"/>
              <w:rPr>
                <w:sz w:val="20"/>
              </w:rPr>
            </w:pPr>
          </w:p>
        </w:tc>
        <w:tc>
          <w:tcPr>
            <w:tcW w:w="2092" w:type="dxa"/>
          </w:tcPr>
          <w:p>
            <w:pPr>
              <w:pStyle w:val="10"/>
              <w:ind w:left="0"/>
              <w:rPr>
                <w:sz w:val="20"/>
              </w:rPr>
            </w:pPr>
          </w:p>
        </w:tc>
        <w:tc>
          <w:tcPr>
            <w:tcW w:w="1495" w:type="dxa"/>
          </w:tcPr>
          <w:p>
            <w:pPr>
              <w:pStyle w:val="10"/>
              <w:ind w:left="0"/>
              <w:rPr>
                <w:sz w:val="20"/>
              </w:rPr>
            </w:pPr>
          </w:p>
        </w:tc>
      </w:tr>
    </w:tbl>
    <w:p>
      <w:pPr>
        <w:pStyle w:val="4"/>
        <w:ind w:left="0"/>
        <w:rPr>
          <w:b/>
          <w:sz w:val="20"/>
        </w:rPr>
      </w:pPr>
    </w:p>
    <w:p>
      <w:pPr>
        <w:pStyle w:val="4"/>
        <w:spacing w:before="7" w:after="1"/>
        <w:ind w:left="0"/>
        <w:rPr>
          <w:b/>
          <w:sz w:val="19"/>
        </w:rPr>
      </w:pPr>
    </w:p>
    <w:tbl>
      <w:tblPr>
        <w:tblStyle w:val="6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45"/>
        <w:gridCol w:w="3327"/>
        <w:gridCol w:w="33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3445" w:type="dxa"/>
          </w:tcPr>
          <w:p>
            <w:pPr>
              <w:pStyle w:val="10"/>
              <w:spacing w:before="112" w:line="234" w:lineRule="exact"/>
              <w:ind w:left="1101"/>
              <w:rPr>
                <w:b/>
                <w:sz w:val="21"/>
              </w:rPr>
            </w:pPr>
            <w:r>
              <w:rPr>
                <w:b/>
                <w:sz w:val="21"/>
              </w:rPr>
              <w:t>Product Code</w:t>
            </w:r>
          </w:p>
        </w:tc>
        <w:tc>
          <w:tcPr>
            <w:tcW w:w="3327" w:type="dxa"/>
          </w:tcPr>
          <w:p>
            <w:pPr>
              <w:pStyle w:val="10"/>
              <w:spacing w:before="112" w:line="234" w:lineRule="exact"/>
              <w:ind w:left="940"/>
              <w:rPr>
                <w:b/>
                <w:sz w:val="21"/>
              </w:rPr>
            </w:pPr>
            <w:r>
              <w:rPr>
                <w:b/>
                <w:sz w:val="21"/>
              </w:rPr>
              <w:t>Granularity</w:t>
            </w:r>
          </w:p>
        </w:tc>
        <w:tc>
          <w:tcPr>
            <w:tcW w:w="3314" w:type="dxa"/>
          </w:tcPr>
          <w:p>
            <w:pPr>
              <w:pStyle w:val="10"/>
              <w:spacing w:before="98" w:line="248" w:lineRule="exact"/>
              <w:ind w:left="567"/>
              <w:rPr>
                <w:rFonts w:hint="eastAsia" w:ascii="宋体" w:hAnsi="宋体" w:eastAsia="宋体"/>
                <w:b/>
                <w:sz w:val="21"/>
              </w:rPr>
            </w:pPr>
            <w:r>
              <w:rPr>
                <w:b/>
                <w:sz w:val="21"/>
              </w:rPr>
              <w:t>Particle size(mesh/μm</w:t>
            </w:r>
            <w:r>
              <w:rPr>
                <w:rFonts w:hint="eastAsia" w:ascii="宋体" w:hAnsi="宋体" w:eastAsia="宋体"/>
                <w:b/>
                <w:sz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3445" w:type="dxa"/>
          </w:tcPr>
          <w:p>
            <w:pPr>
              <w:pStyle w:val="10"/>
              <w:spacing w:before="112" w:line="235" w:lineRule="exact"/>
              <w:ind w:left="1157"/>
              <w:rPr>
                <w:sz w:val="21"/>
              </w:rPr>
            </w:pPr>
            <w:r>
              <w:rPr>
                <w:sz w:val="21"/>
              </w:rPr>
              <w:t>DCPA5W</w:t>
            </w:r>
          </w:p>
        </w:tc>
        <w:tc>
          <w:tcPr>
            <w:tcW w:w="3327" w:type="dxa"/>
          </w:tcPr>
          <w:p>
            <w:pPr>
              <w:pStyle w:val="10"/>
              <w:spacing w:before="112" w:line="235" w:lineRule="exact"/>
              <w:ind w:left="947"/>
              <w:rPr>
                <w:sz w:val="21"/>
              </w:rPr>
            </w:pPr>
            <w:r>
              <w:rPr>
                <w:sz w:val="21"/>
              </w:rPr>
              <w:t>Super powder</w:t>
            </w:r>
          </w:p>
        </w:tc>
        <w:tc>
          <w:tcPr>
            <w:tcW w:w="3314" w:type="dxa"/>
          </w:tcPr>
          <w:p>
            <w:pPr>
              <w:pStyle w:val="10"/>
              <w:spacing w:before="112" w:line="235" w:lineRule="exact"/>
              <w:ind w:left="1348" w:right="1535"/>
              <w:jc w:val="center"/>
              <w:rPr>
                <w:sz w:val="21"/>
              </w:rPr>
            </w:pPr>
            <w:r>
              <w:rPr>
                <w:sz w:val="21"/>
              </w:rPr>
              <w:t>4μm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 w:eastAsia="宋体"/>
          <w:color w:val="auto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4479290</wp:posOffset>
            </wp:positionH>
            <wp:positionV relativeFrom="paragraph">
              <wp:posOffset>133985</wp:posOffset>
            </wp:positionV>
            <wp:extent cx="1463040" cy="908685"/>
            <wp:effectExtent l="0" t="0" r="3810" b="5715"/>
            <wp:wrapNone/>
            <wp:docPr id="5" name="图片 165" descr="161199808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65" descr="1611998082(1)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 </w:t>
      </w:r>
    </w:p>
    <w:p/>
    <w:p/>
    <w:p>
      <w:p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   </w:t>
      </w:r>
    </w:p>
    <w:sectPr>
      <w:pgSz w:w="11910" w:h="16840"/>
      <w:pgMar w:top="1500" w:right="700" w:bottom="280" w:left="860" w:header="643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3562" w:leftChars="1019" w:hanging="1320" w:hangingChars="600"/>
      <w:rPr>
        <w:rFonts w:hint="default"/>
        <w:w w:val="110"/>
        <w:sz w:val="28"/>
        <w:szCs w:val="28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220980</wp:posOffset>
          </wp:positionH>
          <wp:positionV relativeFrom="paragraph">
            <wp:posOffset>-121920</wp:posOffset>
          </wp:positionV>
          <wp:extent cx="1209040" cy="828675"/>
          <wp:effectExtent l="0" t="0" r="0" b="0"/>
          <wp:wrapNone/>
          <wp:docPr id="6" name="图片 6" descr="35bd8e3fa2408356770f8c7932b5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35bd8e3fa2408356770f8c7932b5150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>
                          <a:alpha val="100000"/>
                        </a:srgbClr>
                      </a:clrFrom>
                      <a:clrTo>
                        <a:srgbClr val="FFFFFF">
                          <a:alpha val="100000"/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040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/>
        <w:w w:val="110"/>
        <w:sz w:val="28"/>
        <w:szCs w:val="28"/>
      </w:rPr>
      <w:t>EPOCH MASTER GLOBAL BUSINESS (JIANGSU) INC.</w:t>
    </w:r>
  </w:p>
  <w:p>
    <w:pPr>
      <w:ind w:left="2864" w:leftChars="1032" w:hanging="594" w:hangingChars="300"/>
      <w:rPr>
        <w:rFonts w:hint="eastAsia"/>
        <w:lang w:val="en-US" w:eastAsia="zh-CN"/>
      </w:rPr>
    </w:pPr>
    <w:r>
      <w:rPr>
        <w:rFonts w:hint="default"/>
        <w:w w:val="110"/>
        <w:sz w:val="18"/>
        <w:szCs w:val="18"/>
      </w:rPr>
      <w:t>RM.3-93,TENGFEI BUILDING,NO.88 JIANGMIAO RD., RESEARCH AND</w:t>
    </w:r>
    <w:r>
      <w:rPr>
        <w:rFonts w:hint="eastAsia" w:eastAsia="宋体"/>
        <w:w w:val="110"/>
        <w:sz w:val="18"/>
        <w:szCs w:val="18"/>
        <w:lang w:val="en-US" w:eastAsia="zh-CN"/>
      </w:rPr>
      <w:t xml:space="preserve"> </w:t>
    </w:r>
    <w:r>
      <w:rPr>
        <w:rFonts w:hint="default"/>
        <w:w w:val="110"/>
        <w:sz w:val="18"/>
        <w:szCs w:val="18"/>
      </w:rPr>
      <w:t>INNOVATION</w:t>
    </w:r>
    <w:r>
      <w:rPr>
        <w:rFonts w:hint="eastAsia" w:eastAsia="宋体"/>
        <w:w w:val="110"/>
        <w:sz w:val="18"/>
        <w:szCs w:val="18"/>
        <w:lang w:val="en-US" w:eastAsia="zh-CN"/>
      </w:rPr>
      <w:t xml:space="preserve"> </w:t>
    </w:r>
    <w:r>
      <w:rPr>
        <w:rFonts w:hint="default"/>
        <w:w w:val="110"/>
        <w:sz w:val="18"/>
        <w:szCs w:val="18"/>
      </w:rPr>
      <w:t>PARK,NANJING ZONE, (JIANGSU) PILOT FREE TRADE ZONE, CHINA</w:t>
    </w:r>
    <w:r>
      <w:rPr>
        <w:rFonts w:hint="eastAsia" w:eastAsia="宋体"/>
        <w:w w:val="110"/>
        <w:sz w:val="18"/>
        <w:szCs w:val="18"/>
        <w:lang w:val="en-US" w:eastAsia="zh-CN"/>
      </w:rPr>
      <w:t xml:space="preserve">            </w:t>
    </w:r>
    <w:r>
      <w:rPr>
        <w:rFonts w:hint="eastAsia" w:eastAsia="宋体"/>
        <w:w w:val="110"/>
        <w:lang w:val="en-US" w:eastAsia="zh-CN"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E0D24A"/>
    <w:multiLevelType w:val="multilevel"/>
    <w:tmpl w:val="C4E0D24A"/>
    <w:lvl w:ilvl="0" w:tentative="0">
      <w:start w:val="0"/>
      <w:numFmt w:val="bullet"/>
      <w:lvlText w:val=""/>
      <w:lvlJc w:val="left"/>
      <w:pPr>
        <w:ind w:left="1360" w:hanging="420"/>
      </w:pPr>
      <w:rPr>
        <w:rFonts w:hint="default"/>
        <w:w w:val="100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2258" w:hanging="42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3157" w:hanging="42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4055" w:hanging="42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954" w:hanging="42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853" w:hanging="42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751" w:hanging="42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7650" w:hanging="42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8548" w:hanging="42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MzIxZGRmNzFiMGExMjQ2MGE4MTIwMWNmNjcxYmZlMGIifQ=="/>
  </w:docVars>
  <w:rsids>
    <w:rsidRoot w:val="00000000"/>
    <w:rsid w:val="26D47B70"/>
    <w:rsid w:val="347010E3"/>
    <w:rsid w:val="66FE2BA6"/>
    <w:rsid w:val="73425E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spacing w:before="75"/>
      <w:ind w:left="940"/>
      <w:outlineLvl w:val="1"/>
    </w:pPr>
    <w:rPr>
      <w:rFonts w:ascii="Times New Roman" w:hAnsi="Times New Roman" w:eastAsia="Times New Roman" w:cs="Times New Roman"/>
      <w:b/>
      <w:bCs/>
      <w:sz w:val="32"/>
      <w:szCs w:val="32"/>
      <w:u w:val="single" w:color="000000"/>
      <w:lang w:val="en-US" w:eastAsia="en-US" w:bidi="en-US"/>
    </w:rPr>
  </w:style>
  <w:style w:type="paragraph" w:styleId="3">
    <w:name w:val="heading 2"/>
    <w:basedOn w:val="1"/>
    <w:next w:val="1"/>
    <w:qFormat/>
    <w:uiPriority w:val="1"/>
    <w:pPr>
      <w:ind w:left="314"/>
      <w:outlineLvl w:val="2"/>
    </w:pPr>
    <w:rPr>
      <w:rFonts w:ascii="Arial" w:hAnsi="Arial" w:eastAsia="Arial" w:cs="Arial"/>
      <w:b/>
      <w:bCs/>
      <w:sz w:val="22"/>
      <w:szCs w:val="22"/>
      <w:lang w:val="en-US" w:eastAsia="en-US" w:bidi="en-U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980"/>
    </w:pPr>
    <w:rPr>
      <w:rFonts w:ascii="Times New Roman" w:hAnsi="Times New Roman" w:eastAsia="Times New Roman" w:cs="Times New Roman"/>
      <w:sz w:val="24"/>
      <w:szCs w:val="24"/>
      <w:lang w:val="en-US" w:eastAsia="en-US" w:bidi="en-US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2"/>
      <w:ind w:left="1360" w:hanging="420"/>
    </w:pPr>
    <w:rPr>
      <w:rFonts w:ascii="Times New Roman" w:hAnsi="Times New Roman" w:eastAsia="Times New Roman" w:cs="Times New Roman"/>
      <w:lang w:val="en-US" w:eastAsia="en-US" w:bidi="en-US"/>
    </w:rPr>
  </w:style>
  <w:style w:type="paragraph" w:customStyle="1" w:styleId="10">
    <w:name w:val="Table Paragraph"/>
    <w:basedOn w:val="1"/>
    <w:qFormat/>
    <w:uiPriority w:val="1"/>
    <w:pPr>
      <w:ind w:left="107"/>
    </w:pPr>
    <w:rPr>
      <w:rFonts w:ascii="Times New Roman" w:hAnsi="Times New Roman" w:eastAsia="Times New Roman" w:cs="Times New Roman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316</Words>
  <Characters>2014</Characters>
  <TotalTime>1</TotalTime>
  <ScaleCrop>false</ScaleCrop>
  <LinksUpToDate>false</LinksUpToDate>
  <CharactersWithSpaces>2233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2022-11-17T03:14:00Z</dcterms:created>
  <dc:creator>Administrator</dc:creator>
  <cp:lastModifiedBy>FREDERICK</cp:lastModifiedBy>
  <dcterms:modified xsi:type="dcterms:W3CDTF">2022-12-14T06:02:45Z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2022-11-17T00:00:00Z</vt:filetime>
  </property>
  <property fmtid="{D5CDD505-2E9C-101B-9397-08002B2CF9AE}" pid="5" name="KSOProductBuildVer">
    <vt:lpwstr>2052-11.1.0.12763</vt:lpwstr>
  </property>
  <property fmtid="{D5CDD505-2E9C-101B-9397-08002B2CF9AE}" pid="6" name="ICV">
    <vt:lpwstr>50BC825F1CCF428E8F12B1DB81687930</vt:lpwstr>
  </property>
</Properties>
</file>